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8FB2" w14:textId="77777777" w:rsid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THE CENTRAL COMMITTEE</w:t>
      </w:r>
      <w:r w:rsidRPr="007C5D7F">
        <w:rPr>
          <w:rFonts w:ascii="Times New Roman" w:hAnsi="Times New Roman" w:cs="Times New Roman"/>
          <w:sz w:val="26"/>
          <w:szCs w:val="26"/>
        </w:rPr>
        <w:t xml:space="preserve"> </w:t>
      </w:r>
      <w:r w:rsidRPr="007C5D7F">
        <w:rPr>
          <w:rFonts w:ascii="Times New Roman" w:hAnsi="Times New Roman" w:cs="Times New Roman"/>
          <w:b/>
          <w:bCs/>
          <w:sz w:val="26"/>
          <w:szCs w:val="26"/>
        </w:rPr>
        <w:t>COMMUNIST PARTY OF VIETNAM</w:t>
      </w:r>
      <w:r w:rsidRPr="007C5D7F">
        <w:rPr>
          <w:rFonts w:ascii="Times New Roman" w:hAnsi="Times New Roman" w:cs="Times New Roman"/>
          <w:sz w:val="26"/>
          <w:szCs w:val="26"/>
        </w:rPr>
        <w:t xml:space="preserve"> </w:t>
      </w:r>
    </w:p>
    <w:p w14:paraId="7D55888A" w14:textId="556405B3" w:rsid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 xml:space="preserve">* </w:t>
      </w:r>
    </w:p>
    <w:p w14:paraId="39EB2B1D" w14:textId="31113CC8"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 xml:space="preserve">No. 10-NQ/TW </w:t>
      </w:r>
      <w:r w:rsidRPr="007C5D7F">
        <w:rPr>
          <w:rFonts w:ascii="Times New Roman" w:hAnsi="Times New Roman" w:cs="Times New Roman"/>
          <w:i/>
          <w:iCs/>
          <w:sz w:val="26"/>
          <w:szCs w:val="26"/>
        </w:rPr>
        <w:t>Hanoi, June 8, 2026</w:t>
      </w:r>
    </w:p>
    <w:p w14:paraId="0DE1C40A" w14:textId="77777777" w:rsidR="007C5D7F" w:rsidRPr="007C5D7F" w:rsidRDefault="007C5D7F" w:rsidP="007C5D7F">
      <w:pPr>
        <w:jc w:val="center"/>
        <w:rPr>
          <w:rFonts w:ascii="Times New Roman" w:hAnsi="Times New Roman" w:cs="Times New Roman"/>
          <w:b/>
          <w:bCs/>
          <w:sz w:val="26"/>
          <w:szCs w:val="26"/>
        </w:rPr>
      </w:pPr>
      <w:r w:rsidRPr="007C5D7F">
        <w:rPr>
          <w:rFonts w:ascii="Times New Roman" w:hAnsi="Times New Roman" w:cs="Times New Roman"/>
          <w:b/>
          <w:bCs/>
          <w:sz w:val="26"/>
          <w:szCs w:val="26"/>
        </w:rPr>
        <w:t>RESOLUTION</w:t>
      </w:r>
    </w:p>
    <w:p w14:paraId="292A7892" w14:textId="77777777" w:rsidR="007C5D7F" w:rsidRPr="007C5D7F" w:rsidRDefault="007C5D7F" w:rsidP="007C5D7F">
      <w:pPr>
        <w:jc w:val="center"/>
        <w:rPr>
          <w:rFonts w:ascii="Times New Roman" w:hAnsi="Times New Roman" w:cs="Times New Roman"/>
          <w:b/>
          <w:bCs/>
          <w:sz w:val="26"/>
          <w:szCs w:val="26"/>
        </w:rPr>
      </w:pPr>
      <w:r w:rsidRPr="007C5D7F">
        <w:rPr>
          <w:rFonts w:ascii="Times New Roman" w:hAnsi="Times New Roman" w:cs="Times New Roman"/>
          <w:b/>
          <w:bCs/>
          <w:sz w:val="26"/>
          <w:szCs w:val="26"/>
        </w:rPr>
        <w:t>OF THE POLITBURO</w:t>
      </w:r>
    </w:p>
    <w:p w14:paraId="5D6030B6" w14:textId="77777777" w:rsidR="007C5D7F" w:rsidRPr="007C5D7F" w:rsidRDefault="007C5D7F" w:rsidP="007C5D7F">
      <w:pPr>
        <w:jc w:val="center"/>
        <w:rPr>
          <w:rFonts w:ascii="Times New Roman" w:hAnsi="Times New Roman" w:cs="Times New Roman"/>
          <w:b/>
          <w:bCs/>
          <w:sz w:val="26"/>
          <w:szCs w:val="26"/>
        </w:rPr>
      </w:pPr>
      <w:r w:rsidRPr="007C5D7F">
        <w:rPr>
          <w:rFonts w:ascii="Times New Roman" w:hAnsi="Times New Roman" w:cs="Times New Roman"/>
          <w:b/>
          <w:bCs/>
          <w:sz w:val="26"/>
          <w:szCs w:val="26"/>
        </w:rPr>
        <w:t>ON THE DEVELOPMENT OF THE FOREIGN-INVESTED ECONOMY</w:t>
      </w:r>
    </w:p>
    <w:p w14:paraId="4E398E62"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 xml:space="preserve">After nearly 40 years of </w:t>
      </w:r>
      <w:r w:rsidRPr="007C5D7F">
        <w:rPr>
          <w:rFonts w:ascii="Times New Roman" w:hAnsi="Times New Roman" w:cs="Times New Roman"/>
          <w:i/>
          <w:iCs/>
          <w:sz w:val="26"/>
          <w:szCs w:val="26"/>
        </w:rPr>
        <w:t>Doi Moi</w:t>
      </w:r>
      <w:r w:rsidRPr="007C5D7F">
        <w:rPr>
          <w:rFonts w:ascii="Times New Roman" w:hAnsi="Times New Roman" w:cs="Times New Roman"/>
          <w:sz w:val="26"/>
          <w:szCs w:val="26"/>
        </w:rPr>
        <w:t xml:space="preserve"> (Renovation) and opening up, the foreign-invested economic sector has continuously grown, not only supplementing vital investment resources but also driving economic restructuring, reforming the growth model, establishing key master industries, expanding export markets, progressively integrating Vietnam deeper into global production networks and value chains, supporting human resource development, and acquiring advanced technologies and management practices.</w:t>
      </w:r>
    </w:p>
    <w:p w14:paraId="11181E65"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However, the quality and efficiency of attracting, managing, and utilizing foreign investment have not yet matched the country's potential and advantages, nor met the development requirements in the new era. The proportion of projects that are labor-, resource-, land-, and energy-intensive, or focused merely on processing and assembly, remains high; the localization rate and value added generated within Vietnam are still low; linkages with the domestic corporate sector remain weak, and technology transfer is limited. There remains a tendency among certain localities to compete for investment based on quantity. The flow of indirect investment is small and disproportionate to the market’s potential. Capital contribution, mergers, and acquisitions (M&amp;A) activities by global investment funds, financial institutions, and foreign investors are still restricted and loosely managed.</w:t>
      </w:r>
    </w:p>
    <w:p w14:paraId="6552C588"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 xml:space="preserve">Contextually, as Vietnam establishes a new growth model driven by science, technology, innovation, digital transformation, green transition, and the enhancement of strategic </w:t>
      </w:r>
      <w:r w:rsidRPr="007C5D7F">
        <w:rPr>
          <w:rFonts w:ascii="Times New Roman" w:hAnsi="Times New Roman" w:cs="Times New Roman"/>
          <w:sz w:val="26"/>
          <w:szCs w:val="26"/>
        </w:rPr>
        <w:lastRenderedPageBreak/>
        <w:t>autonomy, the attraction and development of the foreign-invested economy must be integrated into the country's overall development strategy.</w:t>
      </w:r>
    </w:p>
    <w:p w14:paraId="3370DF21"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The Politburo requires a focused, drastic, synchronous, and effective understanding and implementation of the following contents:</w:t>
      </w:r>
    </w:p>
    <w:p w14:paraId="0C2CBDF9"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I. GUIDING PERSPECTIVES</w:t>
      </w:r>
    </w:p>
    <w:p w14:paraId="2B80A9CA"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t>The foreign-invested economy is an integral part of the national economy, contributing not only medium- and long-term capital for development investment but also serving as a channel for acquiring advanced technology and modern management methods, training and upgrading the quality of human resources, and expanding markets. It is encouraged by the State for long-term development, treated equally, and allowed to compete fairly with other economic sectors in accordance with the law.</w:t>
      </w:r>
    </w:p>
    <w:p w14:paraId="01FE63EF"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t>The development of the foreign-invested economy must be aligned with requirements to raise efficiency, strategic autonomy, and the competitiveness of the economy; expand market networks; deepen participation in global supply chains; actively contribute to national industrialization and modernization; promote rapid and sustainable economic growth; maintain political stability, national defense, and security; and elevate Vietnam’s position and prestige in the international arena.</w:t>
      </w:r>
    </w:p>
    <w:p w14:paraId="174C681F"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t>Shift decisively from a mindset primarily focused on attracting capital to one that develops national strategic investment foundations; from attracting investment based on administrative boundaries to attracting based on industry clusters, value chains, and innovation ecosystems; take quality, efficiency, technology transfer, supply chain participation, and added value as the primary criteria; gradually transition from input-based incentives to output-linked support tied to the implementation of commitments, encompassing project lifecycle management and linkages with domestic enterprises.</w:t>
      </w:r>
    </w:p>
    <w:p w14:paraId="69432BC1"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lastRenderedPageBreak/>
        <w:t>Develop a synchronous, unified foreign investment ecosystem aligned with domestic enterprise development strategies, capital market development, international financial centers, free trade zones, economic zones, industrial parks, high-tech zones, innovation hubs, logistics infrastructure, data, and energy; encourage foreign investors to establish regional headquarters, operational centers, research and design hubs, and regional services.</w:t>
      </w:r>
    </w:p>
    <w:p w14:paraId="50F26853"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t>The State recognizes and protects intellectual property rights, ownership of property, investment capital, income, and other legal rights and interests of foreign investors; guarantees a transparent, stable, consistent, highly predictable investment and business environment with low compliance costs that aligns with international practices, enhancing regional and global competitiveness. Ensure a mechanism for dialogue, timely receipt, and processing of recommendations and complaints based on the principle of harmonizing interests among parties; resolve investment disputes in accordance with the law; encourage parties to self-reconcile through commercial mediation and commercial arbitration mechanisms.</w:t>
      </w:r>
    </w:p>
    <w:p w14:paraId="7E99107D" w14:textId="77777777" w:rsidR="007C5D7F" w:rsidRPr="007C5D7F" w:rsidRDefault="007C5D7F" w:rsidP="007C5D7F">
      <w:pPr>
        <w:numPr>
          <w:ilvl w:val="0"/>
          <w:numId w:val="1"/>
        </w:numPr>
        <w:rPr>
          <w:rFonts w:ascii="Times New Roman" w:hAnsi="Times New Roman" w:cs="Times New Roman"/>
          <w:sz w:val="26"/>
          <w:szCs w:val="26"/>
        </w:rPr>
      </w:pPr>
      <w:r w:rsidRPr="007C5D7F">
        <w:rPr>
          <w:rFonts w:ascii="Times New Roman" w:hAnsi="Times New Roman" w:cs="Times New Roman"/>
          <w:sz w:val="26"/>
          <w:szCs w:val="26"/>
        </w:rPr>
        <w:t>Strengthen the leadership of the Party and the facilitating role of the State; improve the effectiveness and efficiency of national coordination; promote the proactivity and creativity of localities based on unified strategies, planning, criteria, and monitoring mechanisms; take substantive contribution outcomes as the primary metric in attracting, managing, and utilizing foreign investment.</w:t>
      </w:r>
    </w:p>
    <w:p w14:paraId="511A9188"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II. OBJECTIVES</w:t>
      </w:r>
    </w:p>
    <w:p w14:paraId="034DEDA5"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 General Objectives</w:t>
      </w:r>
    </w:p>
    <w:p w14:paraId="5FA2813F"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 xml:space="preserve">To turn Vietnam into a highly competitive destination capable of attracting high-quality medium- and long-term foreign capital for development investment. Efficiently manage and utilize foreign investment capital to enhance production capacity, create linkages and spillover effects with domestic economic sectors, promote technology transfer, human resource training, and deep integration into global supply chains; contribute to </w:t>
      </w:r>
      <w:r w:rsidRPr="007C5D7F">
        <w:rPr>
          <w:rFonts w:ascii="Times New Roman" w:hAnsi="Times New Roman" w:cs="Times New Roman"/>
          <w:sz w:val="26"/>
          <w:szCs w:val="26"/>
        </w:rPr>
        <w:lastRenderedPageBreak/>
        <w:t>establishing a new growth model founded on science, technology, innovation, and digital transformation; enhance competitiveness, strategic autonomy, and national position and prestige; create a vital engine for successfully achieving the country's development goals by 2030 and 2045.</w:t>
      </w:r>
    </w:p>
    <w:p w14:paraId="78453177"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2. Specific Objectives</w:t>
      </w:r>
    </w:p>
    <w:p w14:paraId="1187A270"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a) By 2030</w:t>
      </w:r>
      <w:r w:rsidRPr="007C5D7F">
        <w:rPr>
          <w:rFonts w:ascii="Times New Roman" w:hAnsi="Times New Roman" w:cs="Times New Roman"/>
          <w:sz w:val="26"/>
          <w:szCs w:val="26"/>
        </w:rPr>
        <w:t xml:space="preserve"> Strive to position Vietnam among the leading ASEAN countries regarding the investment and business environment, competitiveness, innovation, public service quality, and the capacity to absorb high-quality foreign investment projects.</w:t>
      </w:r>
    </w:p>
    <w:p w14:paraId="1B6F4E13"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i/>
          <w:iCs/>
          <w:sz w:val="26"/>
          <w:szCs w:val="26"/>
        </w:rPr>
        <w:t>Period 2026 - 2030:</w:t>
      </w:r>
      <w:r w:rsidRPr="007C5D7F">
        <w:rPr>
          <w:rFonts w:ascii="Times New Roman" w:hAnsi="Times New Roman" w:cs="Times New Roman"/>
          <w:sz w:val="26"/>
          <w:szCs w:val="26"/>
        </w:rPr>
        <w:t xml:space="preserve"> Attract registered foreign investment capital of approximately USD 200 - 300 billion (USD 40 - 50 billion/year); realized capital of approximately USD 150 - 200 billion (USD 30 - 40 billion/year).</w:t>
      </w:r>
    </w:p>
    <w:p w14:paraId="1812E8E6" w14:textId="77777777" w:rsidR="007C5D7F" w:rsidRPr="007C5D7F" w:rsidRDefault="007C5D7F" w:rsidP="007C5D7F">
      <w:pPr>
        <w:numPr>
          <w:ilvl w:val="0"/>
          <w:numId w:val="2"/>
        </w:numPr>
        <w:rPr>
          <w:rFonts w:ascii="Times New Roman" w:hAnsi="Times New Roman" w:cs="Times New Roman"/>
          <w:sz w:val="26"/>
          <w:szCs w:val="26"/>
        </w:rPr>
      </w:pPr>
      <w:r w:rsidRPr="007C5D7F">
        <w:rPr>
          <w:rFonts w:ascii="Times New Roman" w:hAnsi="Times New Roman" w:cs="Times New Roman"/>
          <w:sz w:val="26"/>
          <w:szCs w:val="26"/>
        </w:rPr>
        <w:t>75% of foreign investment capital shall originate from developed economies with strong technology, capital, and modern governance potential; increase the number of Fortune 500 multinational corporations with investment operations in Vietnam by 30%; attract multinational corporations to invest in research, design, innovation, and data centers, regional headquarters, operational centers, treasury centers, procurement centers, and shared service centers, including at least 3 of the world's leading technology corporations establishing headquarters, offices, or research and development (R&amp;D) centers in Vietnam; attract foreign enterprises, including small and medium-sized enterprises (SMEs) that possess core or specialized technologies and exhibit the capacity to integrate deeply into global value chains.</w:t>
      </w:r>
    </w:p>
    <w:p w14:paraId="287D89A9" w14:textId="77777777" w:rsidR="007C5D7F" w:rsidRPr="007C5D7F" w:rsidRDefault="007C5D7F" w:rsidP="007C5D7F">
      <w:pPr>
        <w:numPr>
          <w:ilvl w:val="0"/>
          <w:numId w:val="2"/>
        </w:numPr>
        <w:rPr>
          <w:rFonts w:ascii="Times New Roman" w:hAnsi="Times New Roman" w:cs="Times New Roman"/>
          <w:sz w:val="26"/>
          <w:szCs w:val="26"/>
        </w:rPr>
      </w:pPr>
      <w:r w:rsidRPr="007C5D7F">
        <w:rPr>
          <w:rFonts w:ascii="Times New Roman" w:hAnsi="Times New Roman" w:cs="Times New Roman"/>
          <w:sz w:val="26"/>
          <w:szCs w:val="26"/>
        </w:rPr>
        <w:t>The average localization rate in key industries shall reach 45 - 50%; strive to have approximately 10,000 domestic enterprises participating in the value chains and supply chains of foreign-invested enterprises, including around 500 - 1,000 Tier-1 suppliers.</w:t>
      </w:r>
    </w:p>
    <w:p w14:paraId="7316E485" w14:textId="77777777" w:rsidR="007C5D7F" w:rsidRPr="007C5D7F" w:rsidRDefault="007C5D7F" w:rsidP="007C5D7F">
      <w:pPr>
        <w:numPr>
          <w:ilvl w:val="0"/>
          <w:numId w:val="2"/>
        </w:numPr>
        <w:rPr>
          <w:rFonts w:ascii="Times New Roman" w:hAnsi="Times New Roman" w:cs="Times New Roman"/>
          <w:sz w:val="26"/>
          <w:szCs w:val="26"/>
        </w:rPr>
      </w:pPr>
      <w:r w:rsidRPr="007C5D7F">
        <w:rPr>
          <w:rFonts w:ascii="Times New Roman" w:hAnsi="Times New Roman" w:cs="Times New Roman"/>
          <w:sz w:val="26"/>
          <w:szCs w:val="26"/>
        </w:rPr>
        <w:t xml:space="preserve">The proportion of trained labor in the employment structure shall reach approximately 80%; visibly increase the ratio of Vietnamese nationals occupying </w:t>
      </w:r>
      <w:r w:rsidRPr="007C5D7F">
        <w:rPr>
          <w:rFonts w:ascii="Times New Roman" w:hAnsi="Times New Roman" w:cs="Times New Roman"/>
          <w:sz w:val="26"/>
          <w:szCs w:val="26"/>
        </w:rPr>
        <w:lastRenderedPageBreak/>
        <w:t>technical, management, research, design, operation, and supply chain positions within high-quality foreign investment projects.</w:t>
      </w:r>
    </w:p>
    <w:p w14:paraId="5049B122" w14:textId="77777777" w:rsidR="007C5D7F" w:rsidRPr="007C5D7F" w:rsidRDefault="007C5D7F" w:rsidP="007C5D7F">
      <w:pPr>
        <w:numPr>
          <w:ilvl w:val="0"/>
          <w:numId w:val="2"/>
        </w:numPr>
        <w:rPr>
          <w:rFonts w:ascii="Times New Roman" w:hAnsi="Times New Roman" w:cs="Times New Roman"/>
          <w:sz w:val="26"/>
          <w:szCs w:val="26"/>
        </w:rPr>
      </w:pPr>
      <w:r w:rsidRPr="007C5D7F">
        <w:rPr>
          <w:rFonts w:ascii="Times New Roman" w:hAnsi="Times New Roman" w:cs="Times New Roman"/>
          <w:sz w:val="26"/>
          <w:szCs w:val="26"/>
        </w:rPr>
        <w:t>The proportion of eco-industrial parks, including converted and newly established ones, shall account for approximately 10% of the total number of industrial parks nationwide.</w:t>
      </w:r>
    </w:p>
    <w:p w14:paraId="361D5811" w14:textId="77777777" w:rsidR="007C5D7F" w:rsidRPr="007C5D7F" w:rsidRDefault="007C5D7F" w:rsidP="007C5D7F">
      <w:pPr>
        <w:numPr>
          <w:ilvl w:val="0"/>
          <w:numId w:val="2"/>
        </w:numPr>
        <w:rPr>
          <w:rFonts w:ascii="Times New Roman" w:hAnsi="Times New Roman" w:cs="Times New Roman"/>
          <w:sz w:val="26"/>
          <w:szCs w:val="26"/>
        </w:rPr>
      </w:pPr>
      <w:r w:rsidRPr="007C5D7F">
        <w:rPr>
          <w:rFonts w:ascii="Times New Roman" w:hAnsi="Times New Roman" w:cs="Times New Roman"/>
          <w:sz w:val="26"/>
          <w:szCs w:val="26"/>
        </w:rPr>
        <w:t>Strive to have the stock market upgraded by the MSCI market classification organization before 2030.</w:t>
      </w:r>
    </w:p>
    <w:p w14:paraId="1EC8618A"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b) By 2045</w:t>
      </w:r>
      <w:r w:rsidRPr="007C5D7F">
        <w:rPr>
          <w:rFonts w:ascii="Times New Roman" w:hAnsi="Times New Roman" w:cs="Times New Roman"/>
          <w:sz w:val="26"/>
          <w:szCs w:val="26"/>
        </w:rPr>
        <w:t xml:space="preserve"> The foreign-invested economic sector shall develop effectively and sustainably, linking closely with the state-owned and private economic sectors, positioning Vietnam as one of the highly competitive production, service, innovation, and regional operations hubs in Asia, deeply integrated into global value chains; the capital market shall be modern, transparent, safe, and close to international practices.</w:t>
      </w:r>
    </w:p>
    <w:p w14:paraId="0852AB0D"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Strive by 2045 for the foreign-invested economic sector to account for approximately 25% of total social investment capital and contribute around 30% of the country's GDP, helping lift Vietnam into a developed, high-income country.</w:t>
      </w:r>
    </w:p>
    <w:p w14:paraId="6678C2E0"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III. TASKS AND SOLUTIONS</w:t>
      </w:r>
    </w:p>
    <w:p w14:paraId="41D8EB35"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 Group of General Tasks</w:t>
      </w:r>
    </w:p>
    <w:p w14:paraId="39C4364F"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1.1. Innovating mindsets and unifying awareness on the position and role of the foreign-invested economy</w:t>
      </w:r>
    </w:p>
    <w:p w14:paraId="37643750"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The foreign-invested economy is an inseparable component of the economy; a crucial driver in economic development and international integration; a source of high-quality capital, advanced technology, modern governance, and international standards; a bridge to expand markets and participate in global value chains; and a communication channel to promote the image, position, and prestige of Vietnam internationally, actively contributing to maintaining a peaceful and stable environment in the region and the world.</w:t>
      </w:r>
    </w:p>
    <w:p w14:paraId="1AAABDE6"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lastRenderedPageBreak/>
        <w:t>Shift decisively from an administrative management mindset to a development-facilitating, modern governance, and results-based management mindset; eliminate the practice of localities competing for investment based purely on quantity; resolutely refrain from trading off the environment, natural resources, social welfare, and economic security for pure economic growth.</w:t>
      </w:r>
    </w:p>
    <w:p w14:paraId="2343DF1F"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Encourage foreign-invested enterprises to enhance responsibility, strengthen linkages, share knowledge, support domestic enterprise development, and accompany the Vietnamese economy over the long term.</w:t>
      </w:r>
    </w:p>
    <w:p w14:paraId="7DD3756F"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1.2. Perfecting institutions and improving the investment and business environment</w:t>
      </w:r>
    </w:p>
    <w:p w14:paraId="344D26F9"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Perfect the legal system synchronously and consistently, ensuring openness, transparency, stability, and high predictability, particularly in fields such as investment, enterprises, land, planning, construction, tax, customs, trade, competition, foreign exchange, securities, intellectual property, data, labor, science, technology, and innovation; promptly resolve overlaps, contradictions, and bottlenecks in implementation.</w:t>
      </w:r>
    </w:p>
    <w:p w14:paraId="0EDCFDD8" w14:textId="77777777" w:rsidR="007C5D7F" w:rsidRPr="007C5D7F" w:rsidRDefault="007C5D7F" w:rsidP="007C5D7F">
      <w:pPr>
        <w:numPr>
          <w:ilvl w:val="0"/>
          <w:numId w:val="3"/>
        </w:numPr>
        <w:rPr>
          <w:rFonts w:ascii="Times New Roman" w:hAnsi="Times New Roman" w:cs="Times New Roman"/>
          <w:sz w:val="26"/>
          <w:szCs w:val="26"/>
        </w:rPr>
      </w:pPr>
      <w:r w:rsidRPr="007C5D7F">
        <w:rPr>
          <w:rFonts w:ascii="Times New Roman" w:hAnsi="Times New Roman" w:cs="Times New Roman"/>
          <w:sz w:val="26"/>
          <w:szCs w:val="26"/>
        </w:rPr>
        <w:t>Innovate investment incentive and support mechanisms, gradually shifting from traditional incentives to support mechanisms linked to project performance; build post-inspection, incentive-recovery, and support-withdrawal mechanisms if commitments are unfulfilled; prioritize projects with voluntary commitments and excellent implementation regarding the use of advanced, eco-friendly technologies, major contributions to innovation, R&amp;D, training and utilizing Vietnamese labor, domestic supplier development, green transition, digital transformation, land, resource, and energy efficiency, and legal compliance.</w:t>
      </w:r>
    </w:p>
    <w:p w14:paraId="4F0303B6" w14:textId="77777777" w:rsidR="007C5D7F" w:rsidRPr="007C5D7F" w:rsidRDefault="007C5D7F" w:rsidP="007C5D7F">
      <w:pPr>
        <w:numPr>
          <w:ilvl w:val="0"/>
          <w:numId w:val="3"/>
        </w:numPr>
        <w:rPr>
          <w:rFonts w:ascii="Times New Roman" w:hAnsi="Times New Roman" w:cs="Times New Roman"/>
          <w:sz w:val="26"/>
          <w:szCs w:val="26"/>
        </w:rPr>
      </w:pPr>
      <w:r w:rsidRPr="007C5D7F">
        <w:rPr>
          <w:rFonts w:ascii="Times New Roman" w:hAnsi="Times New Roman" w:cs="Times New Roman"/>
          <w:sz w:val="26"/>
          <w:szCs w:val="26"/>
        </w:rPr>
        <w:t xml:space="preserve">Formulate mechanisms to select, support, and manage strategic investors; identify groups of priority strategic sectors and technologies for attraction in each period with an open directory reviewed and updated periodically for emerging technologies, industries, and services with comparative, positional, and high spillover advantages. Apply special investment procedures and incentive </w:t>
      </w:r>
      <w:r w:rsidRPr="007C5D7F">
        <w:rPr>
          <w:rFonts w:ascii="Times New Roman" w:hAnsi="Times New Roman" w:cs="Times New Roman"/>
          <w:sz w:val="26"/>
          <w:szCs w:val="26"/>
        </w:rPr>
        <w:lastRenderedPageBreak/>
        <w:t>mechanisms for large-scale strategic technology projects with inter-regional impacts and the potential to lead regional and global supply chains, or high-tech projects committed to transferring technology to Vietnamese enterprises.</w:t>
      </w:r>
    </w:p>
    <w:p w14:paraId="41B23874" w14:textId="77777777" w:rsidR="007C5D7F" w:rsidRPr="007C5D7F" w:rsidRDefault="007C5D7F" w:rsidP="007C5D7F">
      <w:pPr>
        <w:numPr>
          <w:ilvl w:val="0"/>
          <w:numId w:val="3"/>
        </w:numPr>
        <w:rPr>
          <w:rFonts w:ascii="Times New Roman" w:hAnsi="Times New Roman" w:cs="Times New Roman"/>
          <w:sz w:val="26"/>
          <w:szCs w:val="26"/>
        </w:rPr>
      </w:pPr>
      <w:r w:rsidRPr="007C5D7F">
        <w:rPr>
          <w:rFonts w:ascii="Times New Roman" w:hAnsi="Times New Roman" w:cs="Times New Roman"/>
          <w:sz w:val="26"/>
          <w:szCs w:val="26"/>
        </w:rPr>
        <w:t>Pilot outstanding institutional models in specific areas such as international financial centers, free trade zones, economic zones, high-tech zones, innovation models, and new development spaces to attract high-quality, next-generation capital flows while ensuring risk control.</w:t>
      </w:r>
    </w:p>
    <w:p w14:paraId="6D2CA416" w14:textId="77777777" w:rsidR="007C5D7F" w:rsidRPr="007C5D7F" w:rsidRDefault="007C5D7F" w:rsidP="007C5D7F">
      <w:pPr>
        <w:numPr>
          <w:ilvl w:val="0"/>
          <w:numId w:val="3"/>
        </w:numPr>
        <w:rPr>
          <w:rFonts w:ascii="Times New Roman" w:hAnsi="Times New Roman" w:cs="Times New Roman"/>
          <w:sz w:val="26"/>
          <w:szCs w:val="26"/>
        </w:rPr>
      </w:pPr>
      <w:r w:rsidRPr="007C5D7F">
        <w:rPr>
          <w:rFonts w:ascii="Times New Roman" w:hAnsi="Times New Roman" w:cs="Times New Roman"/>
          <w:sz w:val="26"/>
          <w:szCs w:val="26"/>
        </w:rPr>
        <w:t>Aggressively reform administrative procedures, investment and business conditions, and inter-agency coordination; conduct investment governance on digital platforms, digital data, and artificial intelligence (AI); decentralize and delegate power alongside process standardization, openness, transparency, and effective post-inspection; tie the responsibility of focal agencies and heads to foreign investment attraction results and efficiency.</w:t>
      </w:r>
    </w:p>
    <w:p w14:paraId="649FDA0C" w14:textId="77777777" w:rsidR="007C5D7F" w:rsidRPr="007C5D7F" w:rsidRDefault="007C5D7F" w:rsidP="007C5D7F">
      <w:pPr>
        <w:numPr>
          <w:ilvl w:val="0"/>
          <w:numId w:val="3"/>
        </w:numPr>
        <w:rPr>
          <w:rFonts w:ascii="Times New Roman" w:hAnsi="Times New Roman" w:cs="Times New Roman"/>
          <w:sz w:val="26"/>
          <w:szCs w:val="26"/>
        </w:rPr>
      </w:pPr>
      <w:r w:rsidRPr="007C5D7F">
        <w:rPr>
          <w:rFonts w:ascii="Times New Roman" w:hAnsi="Times New Roman" w:cs="Times New Roman"/>
          <w:sz w:val="26"/>
          <w:szCs w:val="26"/>
        </w:rPr>
        <w:t>Review and expand market access for foreign investors following a suitable roadmap based on comprehensive impact assessments, ensuring openness, transparency, uniform application, and non-discrimination among investors. Do not apply retroactivity in a manner that disadvantages enterprises, except for reasons of national defense, national security, social order, safety, morals, public health, or environmental protection as prescribed by law.</w:t>
      </w:r>
    </w:p>
    <w:p w14:paraId="637CFA84"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1.3. Developing high-quality human resources, attracting and retaining talents</w:t>
      </w:r>
    </w:p>
    <w:p w14:paraId="4CA372F8"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t>Formulate high-quality human resource development programs tailored to the needs of priority industries, sectors, industry clusters, industrial parks, high-tech zones, and strategic projects; strengthen linkages among the State, training institutions, domestic enterprises, and foreign investors.</w:t>
      </w:r>
    </w:p>
    <w:p w14:paraId="357E65D7"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t>Implement support policies for human resource training projects of foreign-invested enterprises that partner with institutes, universities, vocational training institutions, and domestic enterprises, especially in strategic technology sectors.</w:t>
      </w:r>
    </w:p>
    <w:p w14:paraId="4D15C976"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lastRenderedPageBreak/>
        <w:t>Create mechanisms to support and encourage foreign-invested enterprises to utilize, train, nurture, upgrade, and progressively assign technical, management, research, design, and supply chain operations roles to Vietnamese personnel.</w:t>
      </w:r>
    </w:p>
    <w:p w14:paraId="57DEA455"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t>Innovate vocational and higher education, retraining, and upskilling for workers; prioritize technology, engineering, data, automation, production management, logistics, finance, and highly demanded emerging fields. Reorganize existing local vocational training facilities to form high-quality vocational training hubs in key economic regions to meet next-generation foreign investment attraction demands.</w:t>
      </w:r>
    </w:p>
    <w:p w14:paraId="1353435F"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t>Perfect policies to attract talent, utilize experts, scientists, entrepreneurs, founders, overseas Vietnamese, and highly qualified foreigners to work, research, innovate, start businesses, and operate in Vietnam; create favorable conditions regarding residency, employment, living environments, public services, and innovation ecosystem connectivity; review and minimize work permit regulations for foreign experts, particularly those in high-tech fields or on short-term assignments.</w:t>
      </w:r>
    </w:p>
    <w:p w14:paraId="7C4C5BF7" w14:textId="77777777" w:rsidR="007C5D7F" w:rsidRPr="007C5D7F" w:rsidRDefault="007C5D7F" w:rsidP="007C5D7F">
      <w:pPr>
        <w:numPr>
          <w:ilvl w:val="0"/>
          <w:numId w:val="4"/>
        </w:numPr>
        <w:rPr>
          <w:rFonts w:ascii="Times New Roman" w:hAnsi="Times New Roman" w:cs="Times New Roman"/>
          <w:sz w:val="26"/>
          <w:szCs w:val="26"/>
        </w:rPr>
      </w:pPr>
      <w:r w:rsidRPr="007C5D7F">
        <w:rPr>
          <w:rFonts w:ascii="Times New Roman" w:hAnsi="Times New Roman" w:cs="Times New Roman"/>
          <w:sz w:val="26"/>
          <w:szCs w:val="26"/>
        </w:rPr>
        <w:t>Implement mechanisms allowing localities to utilize local budgets to support costs for foreign-invested enterprises executing labor training activities at domestic and international enterprise training facilities.</w:t>
      </w:r>
    </w:p>
    <w:p w14:paraId="18710560"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1.4. Upgrading and perfecting infrastructure to serve strategic investment attraction</w:t>
      </w:r>
    </w:p>
    <w:p w14:paraId="42E7E40E"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Invest in developing a synchronous and modern strategic infrastructure system aligned with national, regional, and local development planning, unlocking new development spaces and drivers; prioritize connecting infrastructure and logistics hubs at gateway seaports, international airports, expressways, high-speed railways, inland waterways, and growth-driving regions to anticipate global supply chain shifts and high-quality foreign investment flows.</w:t>
      </w:r>
    </w:p>
    <w:p w14:paraId="5524BF0E" w14:textId="77777777" w:rsidR="007C5D7F" w:rsidRPr="007C5D7F" w:rsidRDefault="007C5D7F" w:rsidP="007C5D7F">
      <w:pPr>
        <w:numPr>
          <w:ilvl w:val="0"/>
          <w:numId w:val="5"/>
        </w:numPr>
        <w:rPr>
          <w:rFonts w:ascii="Times New Roman" w:hAnsi="Times New Roman" w:cs="Times New Roman"/>
          <w:sz w:val="26"/>
          <w:szCs w:val="26"/>
        </w:rPr>
      </w:pPr>
      <w:r w:rsidRPr="007C5D7F">
        <w:rPr>
          <w:rFonts w:ascii="Times New Roman" w:hAnsi="Times New Roman" w:cs="Times New Roman"/>
          <w:sz w:val="26"/>
          <w:szCs w:val="26"/>
        </w:rPr>
        <w:t xml:space="preserve">Ensure adequate and stable supplies of electricity, water, and digital infrastructure; meet clean land fund demands and supporting services for high-quality projects, </w:t>
      </w:r>
      <w:r w:rsidRPr="007C5D7F">
        <w:rPr>
          <w:rFonts w:ascii="Times New Roman" w:hAnsi="Times New Roman" w:cs="Times New Roman"/>
          <w:sz w:val="26"/>
          <w:szCs w:val="26"/>
        </w:rPr>
        <w:lastRenderedPageBreak/>
        <w:t>especially R&amp;D centers, regional headquarters, operational centers, and strategic industrial complexes.</w:t>
      </w:r>
    </w:p>
    <w:p w14:paraId="7DC27158" w14:textId="77777777" w:rsidR="007C5D7F" w:rsidRPr="007C5D7F" w:rsidRDefault="007C5D7F" w:rsidP="007C5D7F">
      <w:pPr>
        <w:numPr>
          <w:ilvl w:val="0"/>
          <w:numId w:val="5"/>
        </w:numPr>
        <w:rPr>
          <w:rFonts w:ascii="Times New Roman" w:hAnsi="Times New Roman" w:cs="Times New Roman"/>
          <w:sz w:val="26"/>
          <w:szCs w:val="26"/>
        </w:rPr>
      </w:pPr>
      <w:r w:rsidRPr="007C5D7F">
        <w:rPr>
          <w:rFonts w:ascii="Times New Roman" w:hAnsi="Times New Roman" w:cs="Times New Roman"/>
          <w:sz w:val="26"/>
          <w:szCs w:val="26"/>
        </w:rPr>
        <w:t>Accelerate the transformation of industrial parks, economic zones, and high-tech zones toward eco-friendly, smart, and specialized models, integrating production infrastructure with logistics and social infrastructure serving workers (housing, healthcare, education, culture, sports). Develop infrastructure according to strategic clusters and industries aligned with development spaces, local planning, and environmental treatment.</w:t>
      </w:r>
    </w:p>
    <w:p w14:paraId="27834770" w14:textId="77777777" w:rsidR="007C5D7F" w:rsidRPr="007C5D7F" w:rsidRDefault="007C5D7F" w:rsidP="007C5D7F">
      <w:pPr>
        <w:numPr>
          <w:ilvl w:val="0"/>
          <w:numId w:val="5"/>
        </w:numPr>
        <w:rPr>
          <w:rFonts w:ascii="Times New Roman" w:hAnsi="Times New Roman" w:cs="Times New Roman"/>
          <w:sz w:val="26"/>
          <w:szCs w:val="26"/>
        </w:rPr>
      </w:pPr>
      <w:r w:rsidRPr="007C5D7F">
        <w:rPr>
          <w:rFonts w:ascii="Times New Roman" w:hAnsi="Times New Roman" w:cs="Times New Roman"/>
          <w:sz w:val="26"/>
          <w:szCs w:val="26"/>
        </w:rPr>
        <w:t>Perfect digital infrastructure and national databases to meet state management, public service provision, and investor connection requirements; promote data sharing, process standardization, paperwork reduction, processing time reduction, and compliance cost reduction.</w:t>
      </w:r>
    </w:p>
    <w:p w14:paraId="725860F0"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2. Innovating foreign investment attraction orientation by industry, sector, and territory</w:t>
      </w:r>
    </w:p>
    <w:p w14:paraId="438BBB71" w14:textId="77777777" w:rsidR="007C5D7F" w:rsidRPr="007C5D7F" w:rsidRDefault="007C5D7F" w:rsidP="007C5D7F">
      <w:pPr>
        <w:numPr>
          <w:ilvl w:val="0"/>
          <w:numId w:val="6"/>
        </w:numPr>
        <w:rPr>
          <w:rFonts w:ascii="Times New Roman" w:hAnsi="Times New Roman" w:cs="Times New Roman"/>
          <w:sz w:val="26"/>
          <w:szCs w:val="26"/>
        </w:rPr>
      </w:pPr>
      <w:r w:rsidRPr="007C5D7F">
        <w:rPr>
          <w:rFonts w:ascii="Times New Roman" w:hAnsi="Times New Roman" w:cs="Times New Roman"/>
          <w:sz w:val="26"/>
          <w:szCs w:val="26"/>
        </w:rPr>
        <w:t>Identify core sectors to prioritize for foreign investment, including: electronics, semiconductor chips, and digital equipment; artificial intelligence (AI), big data, cloud computing, Internet of Things (IoT), and blockchain; advanced biotechnology and biomedicine; advanced energy and material technologies, green industries; modern logistics, supply chain services, financial services, commerce, innovation, and high value-added services. Regularly review and update prioritized sectors to ensure alignment with practical conditions in each development phase, international integration requirements, national defense, security, and national interests. Construct outstanding, competitive incentive mechanisms linked to performance outcomes; specific, separate investment procedures; and centralized, fast, flexible troubleshooting mechanisms.</w:t>
      </w:r>
    </w:p>
    <w:p w14:paraId="62A2B963" w14:textId="77777777" w:rsidR="007C5D7F" w:rsidRPr="007C5D7F" w:rsidRDefault="007C5D7F" w:rsidP="007C5D7F">
      <w:pPr>
        <w:numPr>
          <w:ilvl w:val="0"/>
          <w:numId w:val="6"/>
        </w:numPr>
        <w:rPr>
          <w:rFonts w:ascii="Times New Roman" w:hAnsi="Times New Roman" w:cs="Times New Roman"/>
          <w:sz w:val="26"/>
          <w:szCs w:val="26"/>
        </w:rPr>
      </w:pPr>
      <w:r w:rsidRPr="007C5D7F">
        <w:rPr>
          <w:rFonts w:ascii="Times New Roman" w:hAnsi="Times New Roman" w:cs="Times New Roman"/>
          <w:sz w:val="26"/>
          <w:szCs w:val="26"/>
        </w:rPr>
        <w:t xml:space="preserve">Prioritize attracting projects and investors with foundational and core technologies, commitments to execute research, design, and establish innovation centers, data </w:t>
      </w:r>
      <w:r w:rsidRPr="007C5D7F">
        <w:rPr>
          <w:rFonts w:ascii="Times New Roman" w:hAnsi="Times New Roman" w:cs="Times New Roman"/>
          <w:sz w:val="26"/>
          <w:szCs w:val="26"/>
        </w:rPr>
        <w:lastRenderedPageBreak/>
        <w:t>centers, regional and international energy/commodity reserves warehouses, regional headquarters, operational centers, treasury centers, procurement centers, and shared service centers capable of connecting Vietnam with regional and global production networks, service networks, and financial markets.</w:t>
      </w:r>
    </w:p>
    <w:p w14:paraId="17AEF4EB" w14:textId="77777777" w:rsidR="007C5D7F" w:rsidRPr="007C5D7F" w:rsidRDefault="007C5D7F" w:rsidP="007C5D7F">
      <w:pPr>
        <w:numPr>
          <w:ilvl w:val="0"/>
          <w:numId w:val="6"/>
        </w:numPr>
        <w:rPr>
          <w:rFonts w:ascii="Times New Roman" w:hAnsi="Times New Roman" w:cs="Times New Roman"/>
          <w:sz w:val="26"/>
          <w:szCs w:val="26"/>
        </w:rPr>
      </w:pPr>
      <w:r w:rsidRPr="007C5D7F">
        <w:rPr>
          <w:rFonts w:ascii="Times New Roman" w:hAnsi="Times New Roman" w:cs="Times New Roman"/>
          <w:sz w:val="26"/>
          <w:szCs w:val="26"/>
        </w:rPr>
        <w:t>Focus on developing driving regions, economic corridors, industry clusters, and new development spaces linked with locational advantages, transport hubs, logistics, digital infrastructure, energy, major cities, and regional links to attract next-generation foreign investment. For disadvantaged localities, investment attraction must match practical conditions with a roadmap to progressively raise quality, avoiding low-incentive baselines to compete for investment.</w:t>
      </w:r>
    </w:p>
    <w:p w14:paraId="2DF688B4"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3. Promoting the green economy, digital economy, technology transfer, and increasing spillover effects and linkages with the domestic economic sector</w:t>
      </w:r>
    </w:p>
    <w:p w14:paraId="65E7371B"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Encourage and require foreign-invested enterprises to commit to technology, R&amp;D, technology transfer, developing and training Vietnamese personnel, domestic value-added ratios, local supplier development, green transition, and digital transformation to enjoy performance-based investment incentives; publish procurement needs, technical standards, management standards, and localization roadmaps.</w:t>
      </w:r>
    </w:p>
    <w:p w14:paraId="7239FF37"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Build and deploy a national program to develop domestic suppliers; establish a national database, a supplier connection platform, industry clusters, and long-term cooperation mechanisms between foreign investors and domestic enterprises; support Vietnamese enterprises in improving management capacity, technology, standards, finance, traceability, and the ability to participate in the value and supply chains of foreign-invested enterprises.</w:t>
      </w:r>
    </w:p>
    <w:p w14:paraId="3600DD36"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 xml:space="preserve">Formulate mechanisms to support Vietnamese enterprises in joint ventures, associations, M&amp;A, progressively increasing capital contribution ratios, purchasing shares, buying technology, and receiving technology transfer from foreign-invested </w:t>
      </w:r>
      <w:r w:rsidRPr="007C5D7F">
        <w:rPr>
          <w:rFonts w:ascii="Times New Roman" w:hAnsi="Times New Roman" w:cs="Times New Roman"/>
          <w:sz w:val="26"/>
          <w:szCs w:val="26"/>
        </w:rPr>
        <w:lastRenderedPageBreak/>
        <w:t>enterprises in strategic technology sectors or traditional technology enterprises abroad, ensuring support mechanisms comply with international commitments.</w:t>
      </w:r>
    </w:p>
    <w:p w14:paraId="5A3340C0"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Encourage investments by investment funds, financial intermediaries, and foreign investors into joint ventures, associations, capital contributions, and share purchases of domestic enterprises and projects linked to technology upgrades, governance, markets, and training Vietnamese labor; strictly control and prevent risks to national defense, security, data security, financial system safety, and critical infrastructure.</w:t>
      </w:r>
    </w:p>
    <w:p w14:paraId="7B47E14F"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Encourage credit institutions to provide interest rate support and preferential credit for green, circular, energy-saving, sustainably resourced foreign-invested projects that apply Environmental, Social, and Governance (ESG) standard frameworks. Allow enterprises accelerated depreciation for digital and green assets.</w:t>
      </w:r>
    </w:p>
    <w:p w14:paraId="0F9B928E" w14:textId="77777777" w:rsidR="007C5D7F" w:rsidRPr="007C5D7F" w:rsidRDefault="007C5D7F" w:rsidP="007C5D7F">
      <w:pPr>
        <w:numPr>
          <w:ilvl w:val="0"/>
          <w:numId w:val="7"/>
        </w:numPr>
        <w:rPr>
          <w:rFonts w:ascii="Times New Roman" w:hAnsi="Times New Roman" w:cs="Times New Roman"/>
          <w:sz w:val="26"/>
          <w:szCs w:val="26"/>
        </w:rPr>
      </w:pPr>
      <w:r w:rsidRPr="007C5D7F">
        <w:rPr>
          <w:rFonts w:ascii="Times New Roman" w:hAnsi="Times New Roman" w:cs="Times New Roman"/>
          <w:sz w:val="26"/>
          <w:szCs w:val="26"/>
        </w:rPr>
        <w:t>Implement mechanisms to encourage Vietnamese experts, managers, and workers who have worked in foreign-invested enterprises to leverage their experience, skills, and networks to form new enterprises, new projects, and innovation activities, thereby spreading knowledge and advanced management methods.</w:t>
      </w:r>
    </w:p>
    <w:p w14:paraId="5E5218FE"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4. Innovating and enhancing the efficiency of investment promotion</w:t>
      </w:r>
    </w:p>
    <w:p w14:paraId="0E95A616"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Fundamentally innovate investment promotion toward a proactive, focused, data-driven, professional, substantive, and long-term approach; shift from broad investment promotion to approaching, mobilizing, negotiating, and accompanying strategic investors and projects; consider post-licensing support, troubleshooting for existing projects, and encouraging high-quality project expansion as a vital content of investment attraction policies.</w:t>
      </w:r>
    </w:p>
    <w:p w14:paraId="1E115D5B" w14:textId="77777777" w:rsidR="007C5D7F" w:rsidRPr="007C5D7F" w:rsidRDefault="007C5D7F" w:rsidP="007C5D7F">
      <w:pPr>
        <w:numPr>
          <w:ilvl w:val="0"/>
          <w:numId w:val="8"/>
        </w:numPr>
        <w:rPr>
          <w:rFonts w:ascii="Times New Roman" w:hAnsi="Times New Roman" w:cs="Times New Roman"/>
          <w:sz w:val="26"/>
          <w:szCs w:val="26"/>
        </w:rPr>
      </w:pPr>
      <w:r w:rsidRPr="007C5D7F">
        <w:rPr>
          <w:rFonts w:ascii="Times New Roman" w:hAnsi="Times New Roman" w:cs="Times New Roman"/>
          <w:sz w:val="26"/>
          <w:szCs w:val="26"/>
        </w:rPr>
        <w:t>Build databases of strategic investors, strategic partners, leading corporations, major financial institutions, investment funds, and critical innovation centers, with tailored approach plans for each market, industry group, and territory.</w:t>
      </w:r>
    </w:p>
    <w:p w14:paraId="1B372ADA" w14:textId="77777777" w:rsidR="007C5D7F" w:rsidRPr="007C5D7F" w:rsidRDefault="007C5D7F" w:rsidP="007C5D7F">
      <w:pPr>
        <w:numPr>
          <w:ilvl w:val="0"/>
          <w:numId w:val="8"/>
        </w:numPr>
        <w:rPr>
          <w:rFonts w:ascii="Times New Roman" w:hAnsi="Times New Roman" w:cs="Times New Roman"/>
          <w:sz w:val="26"/>
          <w:szCs w:val="26"/>
        </w:rPr>
      </w:pPr>
      <w:r w:rsidRPr="007C5D7F">
        <w:rPr>
          <w:rFonts w:ascii="Times New Roman" w:hAnsi="Times New Roman" w:cs="Times New Roman"/>
          <w:sz w:val="26"/>
          <w:szCs w:val="26"/>
        </w:rPr>
        <w:lastRenderedPageBreak/>
        <w:t>Shape a national image of a stable, safe, transparent, reformed investment and business environment with quality human resources, a strategic location, increasingly perfected infrastructure, and a determination to accompany investors.</w:t>
      </w:r>
    </w:p>
    <w:p w14:paraId="2E73A8EA"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5. Enhancing the efficiency of state management over the foreign-invested economy</w:t>
      </w:r>
    </w:p>
    <w:p w14:paraId="2623E9EF"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Execute clear decentralization and delegation of power alongside strengthening national coordination, regional linkages, inspection, examination, monitoring, and accountability. Perfect review, coordinated appraisal, and investment risk management mechanisms for projects and transactions involving critical or sensitive sectors, territories, enterprises, works, or infrastructure; ensure clear, open, transparent criteria within proper authority and sequence, creating no unnecessary barriers or bottlenecks for lawful investment and business operations.</w:t>
      </w:r>
    </w:p>
    <w:p w14:paraId="4AD22FE5"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Construct and operate a National Investment Single-Window Portal with full end-to-end digitization and data connectivity among ministries, sectors, and localities; implement the "declare once, use multiple times" principle; improve service quality for investors and enterprises, as well as policy analysis, forecasting, and governance quality.</w:t>
      </w:r>
    </w:p>
    <w:p w14:paraId="7C843543" w14:textId="77777777" w:rsidR="007C5D7F" w:rsidRPr="007C5D7F" w:rsidRDefault="007C5D7F" w:rsidP="007C5D7F">
      <w:pPr>
        <w:numPr>
          <w:ilvl w:val="0"/>
          <w:numId w:val="9"/>
        </w:numPr>
        <w:rPr>
          <w:rFonts w:ascii="Times New Roman" w:hAnsi="Times New Roman" w:cs="Times New Roman"/>
          <w:sz w:val="26"/>
          <w:szCs w:val="26"/>
        </w:rPr>
      </w:pPr>
      <w:r w:rsidRPr="007C5D7F">
        <w:rPr>
          <w:rFonts w:ascii="Times New Roman" w:hAnsi="Times New Roman" w:cs="Times New Roman"/>
          <w:sz w:val="26"/>
          <w:szCs w:val="26"/>
        </w:rPr>
        <w:t>Organize the implementation of the Set of Criteria for evaluating the efficiency of the foreign-invested economy for both central and local levels; take quality, efficiency, technology, innovation, training Vietnamese personnel, supplier development, state budget contributions, environmental protection, legal compliance, and economic security as the primary criteria.</w:t>
      </w:r>
    </w:p>
    <w:p w14:paraId="76FC39B5" w14:textId="77777777" w:rsidR="007C5D7F" w:rsidRPr="007C5D7F" w:rsidRDefault="007C5D7F" w:rsidP="007C5D7F">
      <w:pPr>
        <w:numPr>
          <w:ilvl w:val="0"/>
          <w:numId w:val="9"/>
        </w:numPr>
        <w:rPr>
          <w:rFonts w:ascii="Times New Roman" w:hAnsi="Times New Roman" w:cs="Times New Roman"/>
          <w:sz w:val="26"/>
          <w:szCs w:val="26"/>
        </w:rPr>
      </w:pPr>
      <w:r w:rsidRPr="007C5D7F">
        <w:rPr>
          <w:rFonts w:ascii="Times New Roman" w:hAnsi="Times New Roman" w:cs="Times New Roman"/>
          <w:sz w:val="26"/>
          <w:szCs w:val="26"/>
        </w:rPr>
        <w:t>Strengthen measures against transfer pricing, trade fraud, and origin fraud based on combining rigorous verification of capital origins, ultimate beneficial owners, and controlling high-risk transactions in accordance with the law; perform independent assessments of capital contribution values, machinery, equipment, and technology lines when necessary.</w:t>
      </w:r>
    </w:p>
    <w:p w14:paraId="453EC406" w14:textId="77777777" w:rsidR="007C5D7F" w:rsidRPr="007C5D7F" w:rsidRDefault="007C5D7F" w:rsidP="007C5D7F">
      <w:pPr>
        <w:numPr>
          <w:ilvl w:val="0"/>
          <w:numId w:val="9"/>
        </w:numPr>
        <w:rPr>
          <w:rFonts w:ascii="Times New Roman" w:hAnsi="Times New Roman" w:cs="Times New Roman"/>
          <w:sz w:val="26"/>
          <w:szCs w:val="26"/>
        </w:rPr>
      </w:pPr>
      <w:r w:rsidRPr="007C5D7F">
        <w:rPr>
          <w:rFonts w:ascii="Times New Roman" w:hAnsi="Times New Roman" w:cs="Times New Roman"/>
          <w:sz w:val="26"/>
          <w:szCs w:val="26"/>
        </w:rPr>
        <w:t xml:space="preserve">Strengthen monitoring of investor commitment implementation; promptly handle violations, revoke incentives, or apply appropriate measures for cases of </w:t>
      </w:r>
      <w:r w:rsidRPr="007C5D7F">
        <w:rPr>
          <w:rFonts w:ascii="Times New Roman" w:hAnsi="Times New Roman" w:cs="Times New Roman"/>
          <w:sz w:val="26"/>
          <w:szCs w:val="26"/>
        </w:rPr>
        <w:lastRenderedPageBreak/>
        <w:t>commitment non-fulfillment, wasteful use of land, resources, and energy, or adverse impacts on the environment, social order, and safety.</w:t>
      </w:r>
    </w:p>
    <w:p w14:paraId="13F2E9FB" w14:textId="77777777" w:rsidR="007C5D7F" w:rsidRPr="007C5D7F" w:rsidRDefault="007C5D7F" w:rsidP="007C5D7F">
      <w:pPr>
        <w:numPr>
          <w:ilvl w:val="0"/>
          <w:numId w:val="9"/>
        </w:numPr>
        <w:rPr>
          <w:rFonts w:ascii="Times New Roman" w:hAnsi="Times New Roman" w:cs="Times New Roman"/>
          <w:sz w:val="26"/>
          <w:szCs w:val="26"/>
        </w:rPr>
      </w:pPr>
      <w:r w:rsidRPr="007C5D7F">
        <w:rPr>
          <w:rFonts w:ascii="Times New Roman" w:hAnsi="Times New Roman" w:cs="Times New Roman"/>
          <w:sz w:val="26"/>
          <w:szCs w:val="26"/>
        </w:rPr>
        <w:t>Honor and promptly reward foreign-invested enterprises and foreign investors making substantive, long-term, and positive contributions to the country's development goals.</w:t>
      </w:r>
    </w:p>
    <w:p w14:paraId="690706D1"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6. Perfecting mechanisms and policies related to foreign indirect investment</w:t>
      </w:r>
    </w:p>
    <w:p w14:paraId="4D9D6873"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sz w:val="26"/>
          <w:szCs w:val="26"/>
        </w:rPr>
        <w:t>Develop medium- and long-term capital markets toward transparency, modernity, safety, and sustainability, reducing dependence on short-term credit markets; perfect synchronously the institutional framework for stock market, bond market, and intermediary institution development; urgently deploy construction and operate international and regional financial centers; accelerate the stock market upgrade roadmap based on substantive reforms regarding market accessibility, quality and diversity of commodity supply, information transparency, system safety, and protecting investors' legal rights and interests.</w:t>
      </w:r>
    </w:p>
    <w:p w14:paraId="2ABCEC87" w14:textId="77777777" w:rsidR="007C5D7F" w:rsidRPr="007C5D7F" w:rsidRDefault="007C5D7F" w:rsidP="007C5D7F">
      <w:pPr>
        <w:numPr>
          <w:ilvl w:val="0"/>
          <w:numId w:val="10"/>
        </w:numPr>
        <w:rPr>
          <w:rFonts w:ascii="Times New Roman" w:hAnsi="Times New Roman" w:cs="Times New Roman"/>
          <w:sz w:val="26"/>
          <w:szCs w:val="26"/>
        </w:rPr>
      </w:pPr>
      <w:r w:rsidRPr="007C5D7F">
        <w:rPr>
          <w:rFonts w:ascii="Times New Roman" w:hAnsi="Times New Roman" w:cs="Times New Roman"/>
          <w:sz w:val="26"/>
          <w:szCs w:val="26"/>
        </w:rPr>
        <w:t>Increase commodity supply for the capital market by accelerating equalization linked with listing, promoting private enterprises to raise capital and list on the market, and improving corporate governance and information transparency. Pilot controlled development of crypto-asset trading floors.</w:t>
      </w:r>
    </w:p>
    <w:p w14:paraId="2CCACE56" w14:textId="77777777" w:rsidR="007C5D7F" w:rsidRPr="007C5D7F" w:rsidRDefault="007C5D7F" w:rsidP="007C5D7F">
      <w:pPr>
        <w:numPr>
          <w:ilvl w:val="0"/>
          <w:numId w:val="10"/>
        </w:numPr>
        <w:rPr>
          <w:rFonts w:ascii="Times New Roman" w:hAnsi="Times New Roman" w:cs="Times New Roman"/>
          <w:sz w:val="26"/>
          <w:szCs w:val="26"/>
        </w:rPr>
      </w:pPr>
      <w:r w:rsidRPr="007C5D7F">
        <w:rPr>
          <w:rFonts w:ascii="Times New Roman" w:hAnsi="Times New Roman" w:cs="Times New Roman"/>
          <w:sz w:val="26"/>
          <w:szCs w:val="26"/>
        </w:rPr>
        <w:t>Develop the investor base toward diversifying types and groups of investors, focusing on raising the proportion of institutional investors, professional investors, investment funds, supplementary pension funds, insurance enterprises, private equity funds, venture capital funds, and growth investment funds; encourage long-term, stable, and responsible foreign capital flows.</w:t>
      </w:r>
    </w:p>
    <w:p w14:paraId="7B5A842B" w14:textId="77777777" w:rsidR="007C5D7F" w:rsidRPr="007C5D7F" w:rsidRDefault="007C5D7F" w:rsidP="007C5D7F">
      <w:pPr>
        <w:numPr>
          <w:ilvl w:val="0"/>
          <w:numId w:val="10"/>
        </w:numPr>
        <w:rPr>
          <w:rFonts w:ascii="Times New Roman" w:hAnsi="Times New Roman" w:cs="Times New Roman"/>
          <w:sz w:val="26"/>
          <w:szCs w:val="26"/>
        </w:rPr>
      </w:pPr>
      <w:r w:rsidRPr="007C5D7F">
        <w:rPr>
          <w:rFonts w:ascii="Times New Roman" w:hAnsi="Times New Roman" w:cs="Times New Roman"/>
          <w:sz w:val="26"/>
          <w:szCs w:val="26"/>
        </w:rPr>
        <w:t xml:space="preserve">Improve market access for foreign investors, perfect trading, payment, clearing, and depository infrastructure, risk hedging instruments, and investor protection mechanisms; continue improving information disclosure quality, accounting </w:t>
      </w:r>
      <w:r w:rsidRPr="007C5D7F">
        <w:rPr>
          <w:rFonts w:ascii="Times New Roman" w:hAnsi="Times New Roman" w:cs="Times New Roman"/>
          <w:sz w:val="26"/>
          <w:szCs w:val="26"/>
        </w:rPr>
        <w:lastRenderedPageBreak/>
        <w:t>standards, corporate governance, and market monitoring closer to international practices.</w:t>
      </w:r>
    </w:p>
    <w:p w14:paraId="5A8D5809" w14:textId="77777777" w:rsidR="007C5D7F" w:rsidRPr="007C5D7F" w:rsidRDefault="007C5D7F" w:rsidP="007C5D7F">
      <w:pPr>
        <w:numPr>
          <w:ilvl w:val="0"/>
          <w:numId w:val="10"/>
        </w:numPr>
        <w:rPr>
          <w:rFonts w:ascii="Times New Roman" w:hAnsi="Times New Roman" w:cs="Times New Roman"/>
          <w:sz w:val="26"/>
          <w:szCs w:val="26"/>
        </w:rPr>
      </w:pPr>
      <w:r w:rsidRPr="007C5D7F">
        <w:rPr>
          <w:rFonts w:ascii="Times New Roman" w:hAnsi="Times New Roman" w:cs="Times New Roman"/>
          <w:sz w:val="26"/>
          <w:szCs w:val="26"/>
        </w:rPr>
        <w:t>Perfect mechanisms to protect the legal rights and interests of investors in the capital market; enhance the efficiency of receiving and processing complaints and disputes, and enforcing information disclosure and corporate governance obligations; simultaneously strengthen monitoring of capital flows, foreign exchange, anti-money laundering, and systemic risks.</w:t>
      </w:r>
    </w:p>
    <w:p w14:paraId="7B773931"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7. Enhancing the leadership role of the Party, the operational efficiency of the Vietnam Fatherland Front, and relevant agencies in developing the foreign-invested economy</w:t>
      </w:r>
    </w:p>
    <w:p w14:paraId="27DA0A88" w14:textId="77777777" w:rsidR="007C5D7F" w:rsidRPr="007C5D7F" w:rsidRDefault="007C5D7F" w:rsidP="007C5D7F">
      <w:pPr>
        <w:numPr>
          <w:ilvl w:val="0"/>
          <w:numId w:val="11"/>
        </w:numPr>
        <w:rPr>
          <w:rFonts w:ascii="Times New Roman" w:hAnsi="Times New Roman" w:cs="Times New Roman"/>
          <w:sz w:val="26"/>
          <w:szCs w:val="26"/>
        </w:rPr>
      </w:pPr>
      <w:r w:rsidRPr="007C5D7F">
        <w:rPr>
          <w:rFonts w:ascii="Times New Roman" w:hAnsi="Times New Roman" w:cs="Times New Roman"/>
          <w:sz w:val="26"/>
          <w:szCs w:val="26"/>
        </w:rPr>
        <w:t>Innovate the contents and methods of leadership of Party organizations in foreign-invested enterprises tailored to specific characteristics; strengthen Party development, ideological work, mass mobilization work, and harmonious, stable, and progressive labor relations, improving the operational efficiency of mass organizations in foreign-invested enterprises.</w:t>
      </w:r>
    </w:p>
    <w:p w14:paraId="72D2D573" w14:textId="77777777" w:rsidR="007C5D7F" w:rsidRPr="007C5D7F" w:rsidRDefault="007C5D7F" w:rsidP="007C5D7F">
      <w:pPr>
        <w:numPr>
          <w:ilvl w:val="0"/>
          <w:numId w:val="11"/>
        </w:numPr>
        <w:rPr>
          <w:rFonts w:ascii="Times New Roman" w:hAnsi="Times New Roman" w:cs="Times New Roman"/>
          <w:sz w:val="26"/>
          <w:szCs w:val="26"/>
        </w:rPr>
      </w:pPr>
      <w:r w:rsidRPr="007C5D7F">
        <w:rPr>
          <w:rFonts w:ascii="Times New Roman" w:hAnsi="Times New Roman" w:cs="Times New Roman"/>
          <w:sz w:val="26"/>
          <w:szCs w:val="26"/>
        </w:rPr>
        <w:t>Improve the quality of cadres engaged in advisory, state management, promotion, and investment support roles; arrange cadres with sufficient capacity, mettle, qualities, public service spirit, and an integration mindset.</w:t>
      </w:r>
    </w:p>
    <w:p w14:paraId="1D539903" w14:textId="77777777" w:rsidR="007C5D7F" w:rsidRPr="007C5D7F" w:rsidRDefault="007C5D7F" w:rsidP="007C5D7F">
      <w:pPr>
        <w:numPr>
          <w:ilvl w:val="0"/>
          <w:numId w:val="11"/>
        </w:numPr>
        <w:rPr>
          <w:rFonts w:ascii="Times New Roman" w:hAnsi="Times New Roman" w:cs="Times New Roman"/>
          <w:sz w:val="26"/>
          <w:szCs w:val="26"/>
        </w:rPr>
      </w:pPr>
      <w:r w:rsidRPr="007C5D7F">
        <w:rPr>
          <w:rFonts w:ascii="Times New Roman" w:hAnsi="Times New Roman" w:cs="Times New Roman"/>
          <w:sz w:val="26"/>
          <w:szCs w:val="26"/>
        </w:rPr>
        <w:t>Leverage the social monitoring and feedback role of the Vietnam Fatherland Front, political-social organizations, socio-professional organizations, business associations, the business community, and workers in the formulation, implementation, and monitoring of policies on foreign-invested economic development.</w:t>
      </w:r>
    </w:p>
    <w:p w14:paraId="2B21C1DC" w14:textId="77777777" w:rsidR="007C5D7F" w:rsidRPr="007C5D7F" w:rsidRDefault="007C5D7F" w:rsidP="007C5D7F">
      <w:pPr>
        <w:rPr>
          <w:rFonts w:ascii="Times New Roman" w:hAnsi="Times New Roman" w:cs="Times New Roman"/>
          <w:b/>
          <w:bCs/>
          <w:sz w:val="26"/>
          <w:szCs w:val="26"/>
        </w:rPr>
      </w:pPr>
      <w:r w:rsidRPr="007C5D7F">
        <w:rPr>
          <w:rFonts w:ascii="Times New Roman" w:hAnsi="Times New Roman" w:cs="Times New Roman"/>
          <w:b/>
          <w:bCs/>
          <w:sz w:val="26"/>
          <w:szCs w:val="26"/>
        </w:rPr>
        <w:t>IV. IMPLEMENTATION ORGANIZATIONS</w:t>
      </w:r>
    </w:p>
    <w:p w14:paraId="4916F07C"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lastRenderedPageBreak/>
        <w:t>The National Assembly Party Committee shall lead and direct the review and perfection of laws regarding foreign-invested economic development; strengthen monitoring of implementation as prescribed.</w:t>
      </w:r>
    </w:p>
    <w:p w14:paraId="10149D8A"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The Government Party Committee shall lead and direct: Formulation of an Action Program to deploy the Resolution; issuance or submission to competent authorities for issuance of necessary mechanisms, policies, and laws to implement the Resolution; identification of core priority sectors and technology groups to attract in each phase and periodic open directory review/update mechanisms; construction of a monitoring criteria set, reporting regime, and preliminary/final review mechanisms; piloting of specific new mechanisms and policies, ensuring independent evaluation and timely adjustment or termination of ineffective or risky pilots; allocation of adequate resources and organization of dissemination immediately after the Resolution is issued.</w:t>
      </w:r>
    </w:p>
    <w:p w14:paraId="01EC7E78"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The Party committees of ministries, ministerial-level agencies, the Supreme People's Court, the Supreme People's Procuracy, provincial party committees, municipal party committees, and party committees directly under the Central Committee shall formulate action plans with appropriate tasks, solutions, and roadmaps; assign clear responsibilities to specific agencies and units for execution; and periodically report results, difficulties, bottlenecks, and handling recommendations.</w:t>
      </w:r>
    </w:p>
    <w:p w14:paraId="68BC7212"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The Party Committee of the Ho Chi Minh National Academy of Politics shall preside over and coordinate with relevant agencies to compile training and nurturing materials for cadres, civil servants, and public employees regarding the contents of the Resolution; organize training and nurturing courses according to practical demands.</w:t>
      </w:r>
    </w:p>
    <w:p w14:paraId="20710A63"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 xml:space="preserve">The Party Committee of the Vietnam Fatherland Front, central mass organizations, political-social organizations, and socio-professional organizations shall lead and direct the formulation of programs and plans to guide and mobilize the People to </w:t>
      </w:r>
      <w:r w:rsidRPr="007C5D7F">
        <w:rPr>
          <w:rFonts w:ascii="Times New Roman" w:hAnsi="Times New Roman" w:cs="Times New Roman"/>
          <w:sz w:val="26"/>
          <w:szCs w:val="26"/>
        </w:rPr>
        <w:lastRenderedPageBreak/>
        <w:t>implement the Resolution; leverage social monitoring, feedback, and participation in building relevant laws, mechanisms, and policies.</w:t>
      </w:r>
    </w:p>
    <w:p w14:paraId="2BA84D62"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The Central Commission for Propaganda and Education and the Central Commission for Mass Mobilization shall preside over and coordinate with the Government Party Committee and relevant agencies to advise the Politburo and the Secretariat on organizing study sessions and strengthening propaganda and dissemination of the Resolution's contents.</w:t>
      </w:r>
    </w:p>
    <w:p w14:paraId="72AD8523" w14:textId="77777777" w:rsidR="007C5D7F" w:rsidRPr="007C5D7F" w:rsidRDefault="007C5D7F" w:rsidP="007C5D7F">
      <w:pPr>
        <w:numPr>
          <w:ilvl w:val="0"/>
          <w:numId w:val="12"/>
        </w:numPr>
        <w:rPr>
          <w:rFonts w:ascii="Times New Roman" w:hAnsi="Times New Roman" w:cs="Times New Roman"/>
          <w:sz w:val="26"/>
          <w:szCs w:val="26"/>
        </w:rPr>
      </w:pPr>
      <w:r w:rsidRPr="007C5D7F">
        <w:rPr>
          <w:rFonts w:ascii="Times New Roman" w:hAnsi="Times New Roman" w:cs="Times New Roman"/>
          <w:sz w:val="26"/>
          <w:szCs w:val="26"/>
        </w:rPr>
        <w:t>The Government Party Committee shall preside over and coordinate with the Office of the Party Central Committee, the Central Commission for Policies and Strategies, and party committees directly under the Central Committee and localities to regularly follow up, inspect, urge, conduct preliminary and final reviews, and periodically report to the Politburo and the Secretariat on the results of the Resolution's implementation.</w:t>
      </w:r>
    </w:p>
    <w:p w14:paraId="05D97612"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Recipients:</w:t>
      </w:r>
    </w:p>
    <w:p w14:paraId="029348D0"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Politburo, Secretariat;</w:t>
      </w:r>
    </w:p>
    <w:p w14:paraId="675D16D9"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Party commissions, party committees directly under the Central Committee;</w:t>
      </w:r>
    </w:p>
    <w:p w14:paraId="79426104"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Provincial party committees, municipal party committees;</w:t>
      </w:r>
    </w:p>
    <w:p w14:paraId="0290D3AA"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Party committees of ministries, sectors, and organizations at the Central level;</w:t>
      </w:r>
    </w:p>
    <w:p w14:paraId="0914C1F4"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Members of the Party Central Committee;</w:t>
      </w:r>
    </w:p>
    <w:p w14:paraId="7C617306" w14:textId="77777777" w:rsidR="007C5D7F" w:rsidRPr="007C5D7F" w:rsidRDefault="007C5D7F" w:rsidP="007C5D7F">
      <w:pPr>
        <w:numPr>
          <w:ilvl w:val="0"/>
          <w:numId w:val="13"/>
        </w:numPr>
        <w:rPr>
          <w:rFonts w:ascii="Times New Roman" w:hAnsi="Times New Roman" w:cs="Times New Roman"/>
          <w:sz w:val="26"/>
          <w:szCs w:val="26"/>
        </w:rPr>
      </w:pPr>
      <w:r w:rsidRPr="007C5D7F">
        <w:rPr>
          <w:rFonts w:ascii="Times New Roman" w:hAnsi="Times New Roman" w:cs="Times New Roman"/>
          <w:sz w:val="26"/>
          <w:szCs w:val="26"/>
        </w:rPr>
        <w:t>Archived at the Office of the Party Central Committee.</w:t>
      </w:r>
    </w:p>
    <w:p w14:paraId="4186A5A8"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ON BEHALF OF THE POLITBURO</w:t>
      </w:r>
      <w:r w:rsidRPr="007C5D7F">
        <w:rPr>
          <w:rFonts w:ascii="Times New Roman" w:hAnsi="Times New Roman" w:cs="Times New Roman"/>
          <w:sz w:val="26"/>
          <w:szCs w:val="26"/>
        </w:rPr>
        <w:t xml:space="preserve"> </w:t>
      </w:r>
      <w:r w:rsidRPr="007C5D7F">
        <w:rPr>
          <w:rFonts w:ascii="Times New Roman" w:hAnsi="Times New Roman" w:cs="Times New Roman"/>
          <w:b/>
          <w:bCs/>
          <w:sz w:val="26"/>
          <w:szCs w:val="26"/>
        </w:rPr>
        <w:t>GENERAL SECRETARY</w:t>
      </w:r>
    </w:p>
    <w:p w14:paraId="658DEBBB"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i/>
          <w:iCs/>
          <w:sz w:val="26"/>
          <w:szCs w:val="26"/>
        </w:rPr>
        <w:t>(Signed and Sealed)</w:t>
      </w:r>
    </w:p>
    <w:p w14:paraId="10994CA3" w14:textId="77777777" w:rsidR="007C5D7F" w:rsidRPr="007C5D7F" w:rsidRDefault="007C5D7F" w:rsidP="007C5D7F">
      <w:pPr>
        <w:rPr>
          <w:rFonts w:ascii="Times New Roman" w:hAnsi="Times New Roman" w:cs="Times New Roman"/>
          <w:sz w:val="26"/>
          <w:szCs w:val="26"/>
        </w:rPr>
      </w:pPr>
      <w:r w:rsidRPr="007C5D7F">
        <w:rPr>
          <w:rFonts w:ascii="Times New Roman" w:hAnsi="Times New Roman" w:cs="Times New Roman"/>
          <w:b/>
          <w:bCs/>
          <w:sz w:val="26"/>
          <w:szCs w:val="26"/>
        </w:rPr>
        <w:t>To Lam</w:t>
      </w:r>
    </w:p>
    <w:p w14:paraId="77C83D87" w14:textId="77777777" w:rsidR="00F02EF6" w:rsidRPr="007C5D7F" w:rsidRDefault="00F02EF6">
      <w:pPr>
        <w:rPr>
          <w:rFonts w:ascii="Times New Roman" w:hAnsi="Times New Roman" w:cs="Times New Roman"/>
          <w:sz w:val="26"/>
          <w:szCs w:val="26"/>
        </w:rPr>
      </w:pPr>
    </w:p>
    <w:sectPr w:rsidR="00F02EF6" w:rsidRPr="007C5D7F" w:rsidSect="001D21E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53FF"/>
    <w:multiLevelType w:val="multilevel"/>
    <w:tmpl w:val="348C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62B69"/>
    <w:multiLevelType w:val="multilevel"/>
    <w:tmpl w:val="16D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544F8"/>
    <w:multiLevelType w:val="multilevel"/>
    <w:tmpl w:val="26D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86C39"/>
    <w:multiLevelType w:val="multilevel"/>
    <w:tmpl w:val="3A72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D17F8"/>
    <w:multiLevelType w:val="multilevel"/>
    <w:tmpl w:val="632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F14F5"/>
    <w:multiLevelType w:val="multilevel"/>
    <w:tmpl w:val="455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51214"/>
    <w:multiLevelType w:val="multilevel"/>
    <w:tmpl w:val="632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C0CDD"/>
    <w:multiLevelType w:val="multilevel"/>
    <w:tmpl w:val="6D4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B740A"/>
    <w:multiLevelType w:val="multilevel"/>
    <w:tmpl w:val="F17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73E0E"/>
    <w:multiLevelType w:val="multilevel"/>
    <w:tmpl w:val="9BB0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91CAA"/>
    <w:multiLevelType w:val="multilevel"/>
    <w:tmpl w:val="CE66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63E08"/>
    <w:multiLevelType w:val="multilevel"/>
    <w:tmpl w:val="CEA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C233B"/>
    <w:multiLevelType w:val="multilevel"/>
    <w:tmpl w:val="AB88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20989">
    <w:abstractNumId w:val="0"/>
  </w:num>
  <w:num w:numId="2" w16cid:durableId="2068144723">
    <w:abstractNumId w:val="1"/>
  </w:num>
  <w:num w:numId="3" w16cid:durableId="650477123">
    <w:abstractNumId w:val="10"/>
  </w:num>
  <w:num w:numId="4" w16cid:durableId="721246767">
    <w:abstractNumId w:val="3"/>
  </w:num>
  <w:num w:numId="5" w16cid:durableId="471138337">
    <w:abstractNumId w:val="12"/>
  </w:num>
  <w:num w:numId="6" w16cid:durableId="498545095">
    <w:abstractNumId w:val="4"/>
  </w:num>
  <w:num w:numId="7" w16cid:durableId="1077481686">
    <w:abstractNumId w:val="11"/>
  </w:num>
  <w:num w:numId="8" w16cid:durableId="1387416206">
    <w:abstractNumId w:val="2"/>
  </w:num>
  <w:num w:numId="9" w16cid:durableId="1820880614">
    <w:abstractNumId w:val="8"/>
  </w:num>
  <w:num w:numId="10" w16cid:durableId="2096198688">
    <w:abstractNumId w:val="6"/>
  </w:num>
  <w:num w:numId="11" w16cid:durableId="689601209">
    <w:abstractNumId w:val="5"/>
  </w:num>
  <w:num w:numId="12" w16cid:durableId="846560649">
    <w:abstractNumId w:val="9"/>
  </w:num>
  <w:num w:numId="13" w16cid:durableId="60472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28"/>
    <w:rsid w:val="000D3FA9"/>
    <w:rsid w:val="00165ED9"/>
    <w:rsid w:val="001D21E6"/>
    <w:rsid w:val="004259AE"/>
    <w:rsid w:val="007C5D7F"/>
    <w:rsid w:val="008119B3"/>
    <w:rsid w:val="008B2339"/>
    <w:rsid w:val="00BB3433"/>
    <w:rsid w:val="00EC41BE"/>
    <w:rsid w:val="00EC4828"/>
    <w:rsid w:val="00F0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91E1"/>
  <w15:chartTrackingRefBased/>
  <w15:docId w15:val="{DE588021-3980-4C2C-A182-99F03F9D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2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2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28"/>
    <w:rPr>
      <w:rFonts w:eastAsiaTheme="majorEastAsia" w:cstheme="majorBidi"/>
      <w:color w:val="272727" w:themeColor="text1" w:themeTint="D8"/>
    </w:rPr>
  </w:style>
  <w:style w:type="paragraph" w:styleId="Title">
    <w:name w:val="Title"/>
    <w:basedOn w:val="Normal"/>
    <w:next w:val="Normal"/>
    <w:link w:val="TitleChar"/>
    <w:uiPriority w:val="10"/>
    <w:qFormat/>
    <w:rsid w:val="00EC482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828"/>
    <w:rPr>
      <w:i/>
      <w:iCs/>
      <w:color w:val="404040" w:themeColor="text1" w:themeTint="BF"/>
    </w:rPr>
  </w:style>
  <w:style w:type="paragraph" w:styleId="ListParagraph">
    <w:name w:val="List Paragraph"/>
    <w:basedOn w:val="Normal"/>
    <w:uiPriority w:val="34"/>
    <w:qFormat/>
    <w:rsid w:val="00EC4828"/>
    <w:pPr>
      <w:ind w:left="720"/>
      <w:contextualSpacing/>
    </w:pPr>
  </w:style>
  <w:style w:type="character" w:styleId="IntenseEmphasis">
    <w:name w:val="Intense Emphasis"/>
    <w:basedOn w:val="DefaultParagraphFont"/>
    <w:uiPriority w:val="21"/>
    <w:qFormat/>
    <w:rsid w:val="00EC4828"/>
    <w:rPr>
      <w:i/>
      <w:iCs/>
      <w:color w:val="0F4761" w:themeColor="accent1" w:themeShade="BF"/>
    </w:rPr>
  </w:style>
  <w:style w:type="paragraph" w:styleId="IntenseQuote">
    <w:name w:val="Intense Quote"/>
    <w:basedOn w:val="Normal"/>
    <w:next w:val="Normal"/>
    <w:link w:val="IntenseQuoteChar"/>
    <w:uiPriority w:val="30"/>
    <w:qFormat/>
    <w:rsid w:val="00EC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828"/>
    <w:rPr>
      <w:i/>
      <w:iCs/>
      <w:color w:val="0F4761" w:themeColor="accent1" w:themeShade="BF"/>
    </w:rPr>
  </w:style>
  <w:style w:type="character" w:styleId="IntenseReference">
    <w:name w:val="Intense Reference"/>
    <w:basedOn w:val="DefaultParagraphFont"/>
    <w:uiPriority w:val="32"/>
    <w:qFormat/>
    <w:rsid w:val="00EC48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4508</Words>
  <Characters>25701</Characters>
  <Application>Microsoft Office Word</Application>
  <DocSecurity>0</DocSecurity>
  <Lines>214</Lines>
  <Paragraphs>60</Paragraphs>
  <ScaleCrop>false</ScaleCrop>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Tran AusCham Advocacy</dc:creator>
  <cp:keywords/>
  <dc:description/>
  <cp:lastModifiedBy>Huong Tran AusCham Advocacy</cp:lastModifiedBy>
  <cp:revision>3</cp:revision>
  <dcterms:created xsi:type="dcterms:W3CDTF">2026-06-25T09:32:00Z</dcterms:created>
  <dcterms:modified xsi:type="dcterms:W3CDTF">2026-06-25T09:33:00Z</dcterms:modified>
</cp:coreProperties>
</file>