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BDE2" w14:textId="77777777" w:rsidR="00FB6AD9" w:rsidRPr="000B01C7" w:rsidRDefault="00FB6AD9" w:rsidP="00BA7F5D">
      <w:pPr>
        <w:spacing w:before="120" w:after="120" w:line="276" w:lineRule="auto"/>
        <w:jc w:val="center"/>
        <w:rPr>
          <w:rFonts w:eastAsia="Open Sans"/>
          <w:b/>
          <w:bCs/>
          <w:sz w:val="26"/>
          <w:szCs w:val="26"/>
          <w:lang w:val="en-US"/>
        </w:rPr>
      </w:pPr>
      <w:r w:rsidRPr="00FB6AD9">
        <w:rPr>
          <w:rFonts w:eastAsia="Open Sans"/>
          <w:b/>
          <w:bCs/>
          <w:sz w:val="26"/>
          <w:szCs w:val="26"/>
          <w:lang w:val="en-US"/>
        </w:rPr>
        <w:t>POSITION PAPER</w:t>
      </w:r>
    </w:p>
    <w:p w14:paraId="2B5BF848" w14:textId="50C38EE8" w:rsidR="00FB6AD9" w:rsidRPr="00FB6AD9" w:rsidRDefault="00FB6AD9" w:rsidP="00BA7F5D">
      <w:pPr>
        <w:spacing w:before="120" w:after="120" w:line="276" w:lineRule="auto"/>
        <w:jc w:val="center"/>
        <w:rPr>
          <w:rFonts w:eastAsia="Open Sans"/>
          <w:b/>
          <w:bCs/>
          <w:sz w:val="26"/>
          <w:szCs w:val="26"/>
          <w:lang w:val="en-US"/>
        </w:rPr>
      </w:pPr>
      <w:r w:rsidRPr="000B01C7">
        <w:rPr>
          <w:rFonts w:eastAsia="Open Sans"/>
          <w:b/>
          <w:bCs/>
          <w:sz w:val="26"/>
          <w:szCs w:val="26"/>
          <w:lang w:val="en-US"/>
        </w:rPr>
        <w:t xml:space="preserve">By </w:t>
      </w:r>
      <w:r w:rsidRPr="00FB6AD9">
        <w:rPr>
          <w:rFonts w:eastAsia="Open Sans"/>
          <w:b/>
          <w:bCs/>
          <w:sz w:val="26"/>
          <w:szCs w:val="26"/>
          <w:lang w:val="en-US"/>
        </w:rPr>
        <w:t>AUSTRALIAN CHAMBER OF COMMERCE VIETNAM (AUSCHAM)</w:t>
      </w:r>
    </w:p>
    <w:p w14:paraId="297D4BEF" w14:textId="3A28BA76" w:rsidR="00FB6AD9" w:rsidRPr="000B01C7" w:rsidRDefault="00FB6AD9" w:rsidP="00BA7F5D">
      <w:pPr>
        <w:spacing w:before="120" w:after="120" w:line="276" w:lineRule="auto"/>
        <w:jc w:val="center"/>
        <w:rPr>
          <w:rFonts w:eastAsia="Open Sans"/>
          <w:sz w:val="26"/>
          <w:szCs w:val="26"/>
          <w:lang w:val="en-US"/>
        </w:rPr>
      </w:pPr>
      <w:r w:rsidRPr="000B01C7">
        <w:rPr>
          <w:rFonts w:eastAsia="Open Sans"/>
          <w:b/>
          <w:bCs/>
          <w:sz w:val="26"/>
          <w:szCs w:val="26"/>
          <w:lang w:val="en-US"/>
        </w:rPr>
        <w:t>(</w:t>
      </w:r>
      <w:r w:rsidRPr="00FB6AD9">
        <w:rPr>
          <w:rFonts w:eastAsia="Open Sans"/>
          <w:i/>
          <w:iCs/>
          <w:sz w:val="26"/>
          <w:szCs w:val="26"/>
          <w:lang w:val="en-US"/>
        </w:rPr>
        <w:t>Annual Vietnam Business Forum – September 2025</w:t>
      </w:r>
      <w:r w:rsidRPr="000B01C7">
        <w:rPr>
          <w:rFonts w:eastAsia="Open Sans"/>
          <w:b/>
          <w:bCs/>
          <w:sz w:val="26"/>
          <w:szCs w:val="26"/>
          <w:lang w:val="en-US"/>
        </w:rPr>
        <w:t>)</w:t>
      </w:r>
    </w:p>
    <w:p w14:paraId="0250B5EE" w14:textId="47D09F55" w:rsidR="00FB6AD9" w:rsidRPr="00FB6AD9" w:rsidRDefault="00FB6AD9" w:rsidP="00BA7F5D">
      <w:pPr>
        <w:spacing w:before="120" w:after="120" w:line="276" w:lineRule="auto"/>
        <w:jc w:val="both"/>
        <w:rPr>
          <w:rFonts w:eastAsia="Open Sans"/>
          <w:i/>
          <w:iCs/>
          <w:sz w:val="26"/>
          <w:szCs w:val="26"/>
          <w:lang w:val="en-US"/>
        </w:rPr>
      </w:pPr>
      <w:r w:rsidRPr="00FB6AD9">
        <w:rPr>
          <w:rFonts w:eastAsia="Open Sans"/>
          <w:b/>
          <w:bCs/>
          <w:sz w:val="26"/>
          <w:szCs w:val="26"/>
          <w:lang w:val="en-US"/>
        </w:rPr>
        <w:t xml:space="preserve">Theme: </w:t>
      </w:r>
      <w:r w:rsidRPr="00FB6AD9">
        <w:rPr>
          <w:rFonts w:eastAsia="Open Sans"/>
          <w:i/>
          <w:iCs/>
          <w:sz w:val="26"/>
          <w:szCs w:val="26"/>
          <w:lang w:val="en-US"/>
        </w:rPr>
        <w:t>Vietnam: Enabling Quality Growth through Reform, Innovation and Partnership</w:t>
      </w:r>
    </w:p>
    <w:p w14:paraId="6D6021C8" w14:textId="478616E2" w:rsidR="00FB6AD9" w:rsidRPr="00FB6AD9" w:rsidRDefault="00FB6AD9" w:rsidP="00BA7F5D">
      <w:pPr>
        <w:spacing w:before="120" w:after="120" w:line="276" w:lineRule="auto"/>
        <w:jc w:val="both"/>
        <w:rPr>
          <w:rFonts w:eastAsia="Open Sans"/>
          <w:sz w:val="26"/>
          <w:szCs w:val="26"/>
          <w:lang w:val="en-US"/>
        </w:rPr>
      </w:pPr>
    </w:p>
    <w:p w14:paraId="23F9548B" w14:textId="77777777" w:rsidR="000B01C7" w:rsidRPr="000B01C7" w:rsidRDefault="000B01C7" w:rsidP="00BA7F5D">
      <w:pPr>
        <w:spacing w:before="120" w:after="120" w:line="276" w:lineRule="auto"/>
        <w:jc w:val="both"/>
        <w:rPr>
          <w:b/>
          <w:bCs/>
          <w:sz w:val="26"/>
          <w:szCs w:val="26"/>
          <w:lang w:val="en-US"/>
        </w:rPr>
      </w:pPr>
      <w:r w:rsidRPr="000B01C7">
        <w:rPr>
          <w:b/>
          <w:bCs/>
          <w:sz w:val="26"/>
          <w:szCs w:val="26"/>
          <w:lang w:val="en-US"/>
        </w:rPr>
        <w:t>EXECUTIVE SUMMARY</w:t>
      </w:r>
    </w:p>
    <w:p w14:paraId="2F2D150A" w14:textId="77777777" w:rsidR="000B01C7" w:rsidRPr="000B01C7" w:rsidRDefault="000B01C7" w:rsidP="00BA7F5D">
      <w:pPr>
        <w:spacing w:before="120" w:after="120" w:line="276" w:lineRule="auto"/>
        <w:jc w:val="both"/>
        <w:rPr>
          <w:sz w:val="26"/>
          <w:szCs w:val="26"/>
          <w:lang w:val="en-US"/>
        </w:rPr>
      </w:pPr>
      <w:r w:rsidRPr="000B01C7">
        <w:rPr>
          <w:sz w:val="26"/>
          <w:szCs w:val="26"/>
          <w:lang w:val="en-US"/>
        </w:rPr>
        <w:t>AusCham congratulates the Government of Vietnam on its decisive administrative reforms in 2025, including:</w:t>
      </w:r>
    </w:p>
    <w:p w14:paraId="6F8CF17A" w14:textId="77777777" w:rsidR="000B01C7" w:rsidRPr="000B01C7" w:rsidRDefault="000B01C7" w:rsidP="00BA7F5D">
      <w:pPr>
        <w:numPr>
          <w:ilvl w:val="0"/>
          <w:numId w:val="26"/>
        </w:numPr>
        <w:spacing w:before="120" w:after="120" w:line="276" w:lineRule="auto"/>
        <w:jc w:val="both"/>
        <w:rPr>
          <w:sz w:val="26"/>
          <w:szCs w:val="26"/>
          <w:lang w:val="en-US"/>
        </w:rPr>
      </w:pPr>
      <w:r w:rsidRPr="000B01C7">
        <w:rPr>
          <w:sz w:val="26"/>
          <w:szCs w:val="26"/>
          <w:lang w:val="en-US"/>
        </w:rPr>
        <w:t xml:space="preserve">The </w:t>
      </w:r>
      <w:r w:rsidRPr="000B01C7">
        <w:rPr>
          <w:b/>
          <w:bCs/>
          <w:sz w:val="26"/>
          <w:szCs w:val="26"/>
          <w:lang w:val="en-US"/>
        </w:rPr>
        <w:t>restructuring of ministries and agencies</w:t>
      </w:r>
      <w:r w:rsidRPr="000B01C7">
        <w:rPr>
          <w:sz w:val="26"/>
          <w:szCs w:val="26"/>
          <w:lang w:val="en-US"/>
        </w:rPr>
        <w:t xml:space="preserve"> at the central level;</w:t>
      </w:r>
    </w:p>
    <w:p w14:paraId="0D18D527" w14:textId="77777777" w:rsidR="000B01C7" w:rsidRPr="000B01C7" w:rsidRDefault="000B01C7" w:rsidP="00BA7F5D">
      <w:pPr>
        <w:numPr>
          <w:ilvl w:val="0"/>
          <w:numId w:val="26"/>
        </w:numPr>
        <w:spacing w:before="120" w:after="120" w:line="276" w:lineRule="auto"/>
        <w:jc w:val="both"/>
        <w:rPr>
          <w:sz w:val="26"/>
          <w:szCs w:val="26"/>
          <w:lang w:val="en-US"/>
        </w:rPr>
      </w:pPr>
      <w:r w:rsidRPr="000B01C7">
        <w:rPr>
          <w:sz w:val="26"/>
          <w:szCs w:val="26"/>
          <w:lang w:val="en-US"/>
        </w:rPr>
        <w:t xml:space="preserve">The </w:t>
      </w:r>
      <w:r w:rsidRPr="000B01C7">
        <w:rPr>
          <w:b/>
          <w:bCs/>
          <w:sz w:val="26"/>
          <w:szCs w:val="26"/>
          <w:lang w:val="en-US"/>
        </w:rPr>
        <w:t>consolidation of provincial-level units from 63 to 34</w:t>
      </w:r>
      <w:r w:rsidRPr="000B01C7">
        <w:rPr>
          <w:sz w:val="26"/>
          <w:szCs w:val="26"/>
          <w:lang w:val="en-US"/>
        </w:rPr>
        <w:t xml:space="preserve"> and the abolition of district-level administrations, creating a two-tier model of </w:t>
      </w:r>
      <w:r w:rsidRPr="000B01C7">
        <w:rPr>
          <w:b/>
          <w:bCs/>
          <w:sz w:val="26"/>
          <w:szCs w:val="26"/>
          <w:lang w:val="en-US"/>
        </w:rPr>
        <w:t>province and commune</w:t>
      </w:r>
      <w:r w:rsidRPr="000B01C7">
        <w:rPr>
          <w:sz w:val="26"/>
          <w:szCs w:val="26"/>
          <w:lang w:val="en-US"/>
        </w:rPr>
        <w:t xml:space="preserve">, effective </w:t>
      </w:r>
      <w:r w:rsidRPr="000B01C7">
        <w:rPr>
          <w:b/>
          <w:bCs/>
          <w:sz w:val="26"/>
          <w:szCs w:val="26"/>
          <w:lang w:val="en-US"/>
        </w:rPr>
        <w:t>1 July 2025</w:t>
      </w:r>
      <w:r w:rsidRPr="000B01C7">
        <w:rPr>
          <w:sz w:val="26"/>
          <w:szCs w:val="26"/>
          <w:lang w:val="en-US"/>
        </w:rPr>
        <w:t>;</w:t>
      </w:r>
    </w:p>
    <w:p w14:paraId="4F0950C9" w14:textId="220FF025" w:rsidR="00050756" w:rsidRDefault="000B01C7" w:rsidP="00BA7F5D">
      <w:pPr>
        <w:spacing w:before="120" w:after="120" w:line="276" w:lineRule="auto"/>
        <w:jc w:val="both"/>
        <w:rPr>
          <w:sz w:val="26"/>
          <w:szCs w:val="26"/>
          <w:lang w:val="en-US"/>
        </w:rPr>
      </w:pPr>
      <w:r w:rsidRPr="000B01C7">
        <w:rPr>
          <w:sz w:val="26"/>
          <w:szCs w:val="26"/>
        </w:rPr>
        <w:t>These reforms reflect Vietnam’s determination to modernize state structures, improve efficiency, and support digital transformation.</w:t>
      </w:r>
    </w:p>
    <w:p w14:paraId="224C966F" w14:textId="5CB8D63B" w:rsidR="000B01C7" w:rsidRPr="000B01C7" w:rsidRDefault="000B01C7" w:rsidP="00BA7F5D">
      <w:pPr>
        <w:spacing w:before="120" w:after="120" w:line="276" w:lineRule="auto"/>
        <w:jc w:val="both"/>
        <w:rPr>
          <w:sz w:val="26"/>
          <w:szCs w:val="26"/>
          <w:lang w:val="en-US"/>
        </w:rPr>
      </w:pPr>
      <w:r w:rsidRPr="000B01C7">
        <w:rPr>
          <w:sz w:val="26"/>
          <w:szCs w:val="26"/>
          <w:lang w:val="en-US"/>
        </w:rPr>
        <w:t>Australia and Vietnam’s bilateral trade exceeded</w:t>
      </w:r>
      <w:r w:rsidR="00BA7F5D" w:rsidRPr="00BA7F5D">
        <w:rPr>
          <w:b/>
          <w:bCs/>
          <w:sz w:val="26"/>
          <w:szCs w:val="26"/>
        </w:rPr>
        <w:t xml:space="preserve"> A$28 billion in 2023–24</w:t>
      </w:r>
      <w:r w:rsidRPr="000B01C7">
        <w:rPr>
          <w:sz w:val="26"/>
          <w:szCs w:val="26"/>
          <w:lang w:val="en-US"/>
        </w:rPr>
        <w:t xml:space="preserve">, reflecting momentum under the </w:t>
      </w:r>
      <w:r w:rsidR="00BA7F5D" w:rsidRPr="00BA7F5D">
        <w:rPr>
          <w:b/>
          <w:bCs/>
          <w:sz w:val="26"/>
          <w:szCs w:val="26"/>
        </w:rPr>
        <w:t>Australia’s Southeast Asia Economic Strategy to 2040</w:t>
      </w:r>
      <w:r w:rsidR="00BA7F5D">
        <w:rPr>
          <w:b/>
          <w:bCs/>
          <w:sz w:val="26"/>
          <w:szCs w:val="26"/>
          <w:lang w:val="en-US"/>
        </w:rPr>
        <w:t xml:space="preserve"> </w:t>
      </w:r>
      <w:r w:rsidRPr="000B01C7">
        <w:rPr>
          <w:sz w:val="26"/>
          <w:szCs w:val="26"/>
          <w:lang w:val="en-US"/>
        </w:rPr>
        <w:t xml:space="preserve">and the </w:t>
      </w:r>
      <w:r w:rsidRPr="000B01C7">
        <w:rPr>
          <w:b/>
          <w:bCs/>
          <w:sz w:val="26"/>
          <w:szCs w:val="26"/>
          <w:lang w:val="en-US"/>
        </w:rPr>
        <w:t>Enhanced Economic Engagement Strategy (EEES)</w:t>
      </w:r>
      <w:r w:rsidRPr="000B01C7">
        <w:rPr>
          <w:sz w:val="26"/>
          <w:szCs w:val="26"/>
          <w:lang w:val="en-US"/>
        </w:rPr>
        <w:t>.</w:t>
      </w:r>
    </w:p>
    <w:p w14:paraId="6F33D97E" w14:textId="77777777" w:rsidR="000B01C7" w:rsidRPr="000B01C7" w:rsidRDefault="000B01C7" w:rsidP="00BA7F5D">
      <w:pPr>
        <w:spacing w:before="120" w:after="120" w:line="276" w:lineRule="auto"/>
        <w:jc w:val="both"/>
        <w:rPr>
          <w:sz w:val="26"/>
          <w:szCs w:val="26"/>
          <w:lang w:val="en-US"/>
        </w:rPr>
      </w:pPr>
      <w:r w:rsidRPr="000B01C7">
        <w:rPr>
          <w:sz w:val="26"/>
          <w:szCs w:val="26"/>
          <w:lang w:val="en-US"/>
        </w:rPr>
        <w:t>AusCham members, representing diverse sectors, respectfully propose targeted reforms in the following priority areas:</w:t>
      </w:r>
    </w:p>
    <w:p w14:paraId="332BA751" w14:textId="77777777" w:rsidR="000B01C7" w:rsidRPr="000B01C7" w:rsidRDefault="000B01C7" w:rsidP="00BA7F5D">
      <w:pPr>
        <w:numPr>
          <w:ilvl w:val="0"/>
          <w:numId w:val="27"/>
        </w:numPr>
        <w:spacing w:before="120" w:after="120"/>
        <w:jc w:val="both"/>
        <w:rPr>
          <w:sz w:val="26"/>
          <w:szCs w:val="26"/>
          <w:lang w:val="en-US"/>
        </w:rPr>
      </w:pPr>
      <w:r w:rsidRPr="000B01C7">
        <w:rPr>
          <w:sz w:val="26"/>
          <w:szCs w:val="26"/>
          <w:lang w:val="en-US"/>
        </w:rPr>
        <w:t>Administrative Reform &amp; E-Government</w:t>
      </w:r>
    </w:p>
    <w:p w14:paraId="2CBEA1AC" w14:textId="77777777" w:rsidR="000B01C7" w:rsidRPr="000B01C7" w:rsidRDefault="000B01C7" w:rsidP="00BA7F5D">
      <w:pPr>
        <w:numPr>
          <w:ilvl w:val="0"/>
          <w:numId w:val="27"/>
        </w:numPr>
        <w:spacing w:before="120" w:after="120"/>
        <w:jc w:val="both"/>
        <w:rPr>
          <w:sz w:val="26"/>
          <w:szCs w:val="26"/>
          <w:lang w:val="en-US"/>
        </w:rPr>
      </w:pPr>
      <w:r w:rsidRPr="000B01C7">
        <w:rPr>
          <w:sz w:val="26"/>
          <w:szCs w:val="26"/>
          <w:lang w:val="en-US"/>
        </w:rPr>
        <w:t>Energy Transition &amp; Bankability</w:t>
      </w:r>
    </w:p>
    <w:p w14:paraId="284D15C2" w14:textId="77777777" w:rsidR="000B01C7" w:rsidRPr="000B01C7" w:rsidRDefault="000B01C7" w:rsidP="00BA7F5D">
      <w:pPr>
        <w:numPr>
          <w:ilvl w:val="0"/>
          <w:numId w:val="27"/>
        </w:numPr>
        <w:spacing w:before="120" w:after="120"/>
        <w:jc w:val="both"/>
        <w:rPr>
          <w:sz w:val="26"/>
          <w:szCs w:val="26"/>
          <w:lang w:val="en-US"/>
        </w:rPr>
      </w:pPr>
      <w:r w:rsidRPr="000B01C7">
        <w:rPr>
          <w:sz w:val="26"/>
          <w:szCs w:val="26"/>
          <w:lang w:val="en-US"/>
        </w:rPr>
        <w:t>Power Stability for Industry</w:t>
      </w:r>
    </w:p>
    <w:p w14:paraId="304877E3" w14:textId="77777777" w:rsidR="000B01C7" w:rsidRPr="000B01C7" w:rsidRDefault="000B01C7" w:rsidP="00BA7F5D">
      <w:pPr>
        <w:numPr>
          <w:ilvl w:val="0"/>
          <w:numId w:val="27"/>
        </w:numPr>
        <w:spacing w:before="120" w:after="120"/>
        <w:jc w:val="both"/>
        <w:rPr>
          <w:sz w:val="26"/>
          <w:szCs w:val="26"/>
          <w:lang w:val="en-US"/>
        </w:rPr>
      </w:pPr>
      <w:r w:rsidRPr="000B01C7">
        <w:rPr>
          <w:sz w:val="26"/>
          <w:szCs w:val="26"/>
          <w:lang w:val="en-US"/>
        </w:rPr>
        <w:t>Talent Mobility</w:t>
      </w:r>
    </w:p>
    <w:p w14:paraId="672C1315" w14:textId="77777777" w:rsidR="000B01C7" w:rsidRPr="000B01C7" w:rsidRDefault="000B01C7" w:rsidP="00BA7F5D">
      <w:pPr>
        <w:numPr>
          <w:ilvl w:val="0"/>
          <w:numId w:val="27"/>
        </w:numPr>
        <w:spacing w:before="120" w:after="120"/>
        <w:jc w:val="both"/>
        <w:rPr>
          <w:sz w:val="26"/>
          <w:szCs w:val="26"/>
          <w:lang w:val="en-US"/>
        </w:rPr>
      </w:pPr>
      <w:r w:rsidRPr="000B01C7">
        <w:rPr>
          <w:sz w:val="26"/>
          <w:szCs w:val="26"/>
          <w:lang w:val="en-US"/>
        </w:rPr>
        <w:t>Digital Economy &amp; Data Flows</w:t>
      </w:r>
    </w:p>
    <w:p w14:paraId="20E501BE" w14:textId="77777777" w:rsidR="000B01C7" w:rsidRPr="000B01C7" w:rsidRDefault="000B01C7" w:rsidP="00BA7F5D">
      <w:pPr>
        <w:numPr>
          <w:ilvl w:val="0"/>
          <w:numId w:val="27"/>
        </w:numPr>
        <w:spacing w:before="120" w:after="120"/>
        <w:jc w:val="both"/>
        <w:rPr>
          <w:sz w:val="26"/>
          <w:szCs w:val="26"/>
          <w:lang w:val="en-US"/>
        </w:rPr>
      </w:pPr>
      <w:r w:rsidRPr="000B01C7">
        <w:rPr>
          <w:sz w:val="26"/>
          <w:szCs w:val="26"/>
          <w:lang w:val="en-US"/>
        </w:rPr>
        <w:t>Healthcare &amp; Education</w:t>
      </w:r>
    </w:p>
    <w:p w14:paraId="0C80AC32" w14:textId="77777777" w:rsidR="000B01C7" w:rsidRPr="000B01C7" w:rsidRDefault="000B01C7" w:rsidP="00BA7F5D">
      <w:pPr>
        <w:numPr>
          <w:ilvl w:val="0"/>
          <w:numId w:val="27"/>
        </w:numPr>
        <w:spacing w:before="120" w:after="120" w:line="276" w:lineRule="auto"/>
        <w:jc w:val="both"/>
        <w:rPr>
          <w:sz w:val="26"/>
          <w:szCs w:val="26"/>
          <w:lang w:val="en-US"/>
        </w:rPr>
      </w:pPr>
      <w:r w:rsidRPr="000B01C7">
        <w:rPr>
          <w:sz w:val="26"/>
          <w:szCs w:val="26"/>
          <w:lang w:val="en-US"/>
        </w:rPr>
        <w:t>Dispute Resolution &amp; Investor Confidence</w:t>
      </w:r>
    </w:p>
    <w:p w14:paraId="19622A17" w14:textId="12A3E75A" w:rsidR="000B01C7" w:rsidRDefault="000B01C7" w:rsidP="00BA7F5D">
      <w:pPr>
        <w:spacing w:before="120" w:after="120" w:line="276" w:lineRule="auto"/>
        <w:jc w:val="both"/>
        <w:rPr>
          <w:b/>
          <w:bCs/>
          <w:sz w:val="26"/>
          <w:szCs w:val="26"/>
          <w:lang w:val="en-US"/>
        </w:rPr>
      </w:pPr>
      <w:r w:rsidRPr="000B01C7">
        <w:rPr>
          <w:b/>
          <w:bCs/>
          <w:sz w:val="26"/>
          <w:szCs w:val="26"/>
        </w:rPr>
        <w:lastRenderedPageBreak/>
        <w:t>I. ADMINISTRATIVE REFORM &amp; E-GOVERNMENT</w:t>
      </w:r>
    </w:p>
    <w:p w14:paraId="4BCCA5E1" w14:textId="77777777" w:rsidR="00BA7F5D" w:rsidRPr="00BA7F5D" w:rsidRDefault="00BA7F5D" w:rsidP="00BA7F5D">
      <w:pPr>
        <w:spacing w:before="120" w:after="120" w:line="276" w:lineRule="auto"/>
        <w:jc w:val="both"/>
        <w:rPr>
          <w:sz w:val="26"/>
          <w:szCs w:val="26"/>
          <w:lang w:val="en-US"/>
        </w:rPr>
      </w:pPr>
      <w:r w:rsidRPr="00BA7F5D">
        <w:rPr>
          <w:sz w:val="26"/>
          <w:szCs w:val="26"/>
          <w:lang w:val="en-US"/>
        </w:rPr>
        <w:t>Vietnam’s landmark 2025 administrative restructuring represents a bold step toward modernizing governance and improving state efficiency. Key reforms include:</w:t>
      </w:r>
    </w:p>
    <w:p w14:paraId="050498FC" w14:textId="77777777" w:rsidR="00BA7F5D" w:rsidRPr="00BA7F5D" w:rsidRDefault="00BA7F5D" w:rsidP="00BA7F5D">
      <w:pPr>
        <w:numPr>
          <w:ilvl w:val="0"/>
          <w:numId w:val="28"/>
        </w:numPr>
        <w:spacing w:before="120" w:after="120" w:line="276" w:lineRule="auto"/>
        <w:jc w:val="both"/>
        <w:rPr>
          <w:sz w:val="26"/>
          <w:szCs w:val="26"/>
          <w:lang w:val="en-US"/>
        </w:rPr>
      </w:pPr>
      <w:r w:rsidRPr="00BA7F5D">
        <w:rPr>
          <w:b/>
          <w:bCs/>
          <w:sz w:val="26"/>
          <w:szCs w:val="26"/>
          <w:lang w:val="en-US"/>
        </w:rPr>
        <w:t>Resolution 60-NQ/TW</w:t>
      </w:r>
      <w:r w:rsidRPr="00BA7F5D">
        <w:rPr>
          <w:sz w:val="26"/>
          <w:szCs w:val="26"/>
          <w:lang w:val="en-US"/>
        </w:rPr>
        <w:t xml:space="preserve"> (April 2025): Establishing the framework for reducing the number of provinces.</w:t>
      </w:r>
    </w:p>
    <w:p w14:paraId="1C6DB2C6" w14:textId="77777777" w:rsidR="00BA7F5D" w:rsidRPr="00BA7F5D" w:rsidRDefault="00BA7F5D" w:rsidP="00BA7F5D">
      <w:pPr>
        <w:numPr>
          <w:ilvl w:val="0"/>
          <w:numId w:val="28"/>
        </w:numPr>
        <w:spacing w:before="120" w:after="120" w:line="276" w:lineRule="auto"/>
        <w:jc w:val="both"/>
        <w:rPr>
          <w:sz w:val="26"/>
          <w:szCs w:val="26"/>
          <w:lang w:val="en-US"/>
        </w:rPr>
      </w:pPr>
      <w:r w:rsidRPr="00BA7F5D">
        <w:rPr>
          <w:b/>
          <w:bCs/>
          <w:sz w:val="26"/>
          <w:szCs w:val="26"/>
          <w:lang w:val="en-US"/>
        </w:rPr>
        <w:t>Resolution 202/2025/QH15</w:t>
      </w:r>
      <w:r w:rsidRPr="00BA7F5D">
        <w:rPr>
          <w:sz w:val="26"/>
          <w:szCs w:val="26"/>
          <w:lang w:val="en-US"/>
        </w:rPr>
        <w:t xml:space="preserve"> (June 2025): Consolidating provinces and abolishing district-level administrations, creating a two-tier model of provincial and commune-level governance.</w:t>
      </w:r>
    </w:p>
    <w:p w14:paraId="37700463" w14:textId="77777777" w:rsidR="00BA7F5D" w:rsidRPr="00BA7F5D" w:rsidRDefault="00BA7F5D" w:rsidP="00BA7F5D">
      <w:pPr>
        <w:numPr>
          <w:ilvl w:val="0"/>
          <w:numId w:val="28"/>
        </w:numPr>
        <w:spacing w:before="120" w:after="120" w:line="276" w:lineRule="auto"/>
        <w:jc w:val="both"/>
        <w:rPr>
          <w:sz w:val="26"/>
          <w:szCs w:val="26"/>
          <w:lang w:val="en-US"/>
        </w:rPr>
      </w:pPr>
      <w:r w:rsidRPr="00BA7F5D">
        <w:rPr>
          <w:b/>
          <w:bCs/>
          <w:sz w:val="26"/>
          <w:szCs w:val="26"/>
          <w:lang w:val="en-US"/>
        </w:rPr>
        <w:t>Resolution 203/2025/QH15</w:t>
      </w:r>
      <w:r w:rsidRPr="00BA7F5D">
        <w:rPr>
          <w:sz w:val="26"/>
          <w:szCs w:val="26"/>
          <w:lang w:val="en-US"/>
        </w:rPr>
        <w:t xml:space="preserve"> (June 2025): Amending the Constitution to reflect these structural changes.</w:t>
      </w:r>
    </w:p>
    <w:p w14:paraId="5F65151E" w14:textId="77777777" w:rsidR="00BA7F5D" w:rsidRPr="00BA7F5D" w:rsidRDefault="00BA7F5D" w:rsidP="00BA7F5D">
      <w:pPr>
        <w:spacing w:before="120" w:after="120" w:line="276" w:lineRule="auto"/>
        <w:jc w:val="both"/>
        <w:rPr>
          <w:sz w:val="26"/>
          <w:szCs w:val="26"/>
          <w:lang w:val="en-US"/>
        </w:rPr>
      </w:pPr>
      <w:r w:rsidRPr="00BA7F5D">
        <w:rPr>
          <w:sz w:val="26"/>
          <w:szCs w:val="26"/>
          <w:lang w:val="en-US"/>
        </w:rPr>
        <w:t>AusCham welcomes these measures as they create opportunities to streamline procedures, strengthen e-government systems, and improve consistency across Vietnam. Nevertheless, businesses continue to face challenges that hinder efficiency and increase costs.</w:t>
      </w:r>
    </w:p>
    <w:p w14:paraId="469C1753" w14:textId="77777777" w:rsidR="000B01C7" w:rsidRDefault="000B01C7" w:rsidP="00BA7F5D">
      <w:pPr>
        <w:spacing w:before="120" w:after="120" w:line="276" w:lineRule="auto"/>
        <w:jc w:val="both"/>
        <w:rPr>
          <w:b/>
          <w:bCs/>
          <w:sz w:val="26"/>
          <w:szCs w:val="26"/>
          <w:lang w:val="en-US"/>
        </w:rPr>
      </w:pPr>
    </w:p>
    <w:tbl>
      <w:tblPr>
        <w:tblW w:w="1020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5812"/>
      </w:tblGrid>
      <w:tr w:rsidR="00BA7F5D" w:rsidRPr="000B01C7" w14:paraId="21DFDF41" w14:textId="77777777" w:rsidTr="007A5EBA">
        <w:trPr>
          <w:tblHeader/>
          <w:tblCellSpacing w:w="15" w:type="dxa"/>
        </w:trPr>
        <w:tc>
          <w:tcPr>
            <w:tcW w:w="4350" w:type="dxa"/>
            <w:vAlign w:val="center"/>
            <w:hideMark/>
          </w:tcPr>
          <w:p w14:paraId="07B391B3" w14:textId="77777777" w:rsidR="000B01C7" w:rsidRPr="000B01C7" w:rsidRDefault="000B01C7" w:rsidP="00BA7F5D">
            <w:pPr>
              <w:spacing w:before="120" w:after="120" w:line="276" w:lineRule="auto"/>
              <w:ind w:left="86"/>
              <w:jc w:val="center"/>
              <w:rPr>
                <w:b/>
                <w:bCs/>
                <w:sz w:val="26"/>
                <w:szCs w:val="26"/>
                <w:lang w:val="en-US"/>
              </w:rPr>
            </w:pPr>
            <w:r w:rsidRPr="000B01C7">
              <w:rPr>
                <w:b/>
                <w:bCs/>
                <w:sz w:val="26"/>
                <w:szCs w:val="26"/>
                <w:lang w:val="en-US"/>
              </w:rPr>
              <w:t>Issue</w:t>
            </w:r>
          </w:p>
        </w:tc>
        <w:tc>
          <w:tcPr>
            <w:tcW w:w="5767" w:type="dxa"/>
            <w:vAlign w:val="center"/>
            <w:hideMark/>
          </w:tcPr>
          <w:p w14:paraId="0EE9293E" w14:textId="77777777" w:rsidR="000B01C7" w:rsidRPr="000B01C7" w:rsidRDefault="000B01C7" w:rsidP="00BA7F5D">
            <w:pPr>
              <w:spacing w:before="120" w:after="120" w:line="276" w:lineRule="auto"/>
              <w:ind w:left="101"/>
              <w:jc w:val="center"/>
              <w:rPr>
                <w:b/>
                <w:bCs/>
                <w:sz w:val="26"/>
                <w:szCs w:val="26"/>
                <w:lang w:val="en-US"/>
              </w:rPr>
            </w:pPr>
            <w:r w:rsidRPr="000B01C7">
              <w:rPr>
                <w:b/>
                <w:bCs/>
                <w:sz w:val="26"/>
                <w:szCs w:val="26"/>
                <w:lang w:val="en-US"/>
              </w:rPr>
              <w:t>Recommendations</w:t>
            </w:r>
          </w:p>
        </w:tc>
      </w:tr>
      <w:tr w:rsidR="00BA7F5D" w:rsidRPr="000B01C7" w14:paraId="5CFD0076" w14:textId="77777777" w:rsidTr="007A5EBA">
        <w:trPr>
          <w:tblCellSpacing w:w="15" w:type="dxa"/>
        </w:trPr>
        <w:tc>
          <w:tcPr>
            <w:tcW w:w="4350" w:type="dxa"/>
            <w:vAlign w:val="center"/>
            <w:hideMark/>
          </w:tcPr>
          <w:p w14:paraId="24848F24" w14:textId="77777777" w:rsidR="000B01C7" w:rsidRPr="000B01C7" w:rsidRDefault="000B01C7" w:rsidP="00BA7F5D">
            <w:pPr>
              <w:spacing w:before="120" w:after="120" w:line="276" w:lineRule="auto"/>
              <w:ind w:left="86"/>
              <w:jc w:val="both"/>
              <w:rPr>
                <w:sz w:val="26"/>
                <w:szCs w:val="26"/>
                <w:lang w:val="en-US"/>
              </w:rPr>
            </w:pPr>
            <w:r w:rsidRPr="000B01C7">
              <w:rPr>
                <w:sz w:val="26"/>
                <w:szCs w:val="26"/>
                <w:lang w:val="en-US"/>
              </w:rPr>
              <w:t xml:space="preserve">Licensing and approvals face delays and inconsistent requirements despite clear provisions under the </w:t>
            </w:r>
            <w:r w:rsidRPr="000B01C7">
              <w:rPr>
                <w:i/>
                <w:iCs/>
                <w:sz w:val="26"/>
                <w:szCs w:val="26"/>
                <w:lang w:val="en-US"/>
              </w:rPr>
              <w:t>Law on Investment 2020</w:t>
            </w:r>
            <w:r w:rsidRPr="000B01C7">
              <w:rPr>
                <w:sz w:val="26"/>
                <w:szCs w:val="26"/>
                <w:lang w:val="en-US"/>
              </w:rPr>
              <w:t xml:space="preserve"> and </w:t>
            </w:r>
            <w:r w:rsidRPr="000B01C7">
              <w:rPr>
                <w:i/>
                <w:iCs/>
                <w:sz w:val="26"/>
                <w:szCs w:val="26"/>
                <w:lang w:val="en-US"/>
              </w:rPr>
              <w:t>Law on Enterprises 2020</w:t>
            </w:r>
            <w:r w:rsidRPr="000B01C7">
              <w:rPr>
                <w:sz w:val="26"/>
                <w:szCs w:val="26"/>
                <w:lang w:val="en-US"/>
              </w:rPr>
              <w:t>.</w:t>
            </w:r>
          </w:p>
        </w:tc>
        <w:tc>
          <w:tcPr>
            <w:tcW w:w="5767" w:type="dxa"/>
            <w:vAlign w:val="center"/>
            <w:hideMark/>
          </w:tcPr>
          <w:p w14:paraId="79A6F606" w14:textId="77777777" w:rsidR="000B01C7" w:rsidRPr="00A359E0" w:rsidRDefault="000B01C7" w:rsidP="00BA7F5D">
            <w:pPr>
              <w:spacing w:before="120" w:after="120" w:line="276" w:lineRule="auto"/>
              <w:ind w:left="101"/>
              <w:jc w:val="both"/>
              <w:rPr>
                <w:sz w:val="26"/>
                <w:szCs w:val="26"/>
                <w:lang w:val="en-US"/>
              </w:rPr>
            </w:pPr>
            <w:r w:rsidRPr="000B01C7">
              <w:rPr>
                <w:sz w:val="26"/>
                <w:szCs w:val="26"/>
                <w:lang w:val="en-US"/>
              </w:rPr>
              <w:t xml:space="preserve">• Enforce statutory timelines across MOF, MOIT, DOIT, MPI, and customs. </w:t>
            </w:r>
          </w:p>
          <w:p w14:paraId="0C741958" w14:textId="59039639" w:rsidR="000B01C7" w:rsidRPr="000B01C7" w:rsidRDefault="000B01C7" w:rsidP="00BA7F5D">
            <w:pPr>
              <w:spacing w:before="120" w:after="120" w:line="276" w:lineRule="auto"/>
              <w:ind w:left="101"/>
              <w:jc w:val="both"/>
              <w:rPr>
                <w:sz w:val="26"/>
                <w:szCs w:val="26"/>
                <w:lang w:val="en-US"/>
              </w:rPr>
            </w:pPr>
            <w:r w:rsidRPr="000B01C7">
              <w:rPr>
                <w:sz w:val="26"/>
                <w:szCs w:val="26"/>
                <w:lang w:val="en-US"/>
              </w:rPr>
              <w:t>• Publish and enforce standardized application checklists based strictly on laws and decrees, ensuring nationwide consistency.</w:t>
            </w:r>
          </w:p>
        </w:tc>
      </w:tr>
      <w:tr w:rsidR="00BA7F5D" w:rsidRPr="000B01C7" w14:paraId="4812AB86" w14:textId="77777777" w:rsidTr="007A5EBA">
        <w:trPr>
          <w:tblCellSpacing w:w="15" w:type="dxa"/>
        </w:trPr>
        <w:tc>
          <w:tcPr>
            <w:tcW w:w="4350" w:type="dxa"/>
            <w:vAlign w:val="center"/>
            <w:hideMark/>
          </w:tcPr>
          <w:p w14:paraId="7107913F" w14:textId="7E70FB8E" w:rsidR="000B01C7" w:rsidRPr="000B01C7" w:rsidRDefault="007A5EBA" w:rsidP="00BA7F5D">
            <w:pPr>
              <w:spacing w:before="120" w:after="120" w:line="276" w:lineRule="auto"/>
              <w:ind w:left="86"/>
              <w:jc w:val="both"/>
              <w:rPr>
                <w:sz w:val="26"/>
                <w:szCs w:val="26"/>
                <w:lang w:val="en-US"/>
              </w:rPr>
            </w:pPr>
            <w:r w:rsidRPr="00A359E0">
              <w:rPr>
                <w:sz w:val="26"/>
                <w:szCs w:val="26"/>
              </w:rPr>
              <w:t xml:space="preserve">Some customs and licensing procedures (e.g. import licenses for chemicals, and food-related products such as whey with milk content) have faced delays due to the recent restructuring of ministries and provincial agencies, leading to </w:t>
            </w:r>
            <w:r w:rsidRPr="00A359E0">
              <w:rPr>
                <w:sz w:val="26"/>
                <w:szCs w:val="26"/>
              </w:rPr>
              <w:lastRenderedPageBreak/>
              <w:t>uncertainty over the competent authority.</w:t>
            </w:r>
          </w:p>
        </w:tc>
        <w:tc>
          <w:tcPr>
            <w:tcW w:w="5767" w:type="dxa"/>
            <w:vAlign w:val="center"/>
            <w:hideMark/>
          </w:tcPr>
          <w:p w14:paraId="4A5C0AAF" w14:textId="44EABECB" w:rsidR="000B01C7" w:rsidRPr="000B01C7" w:rsidRDefault="007A5EBA" w:rsidP="00BA7F5D">
            <w:pPr>
              <w:spacing w:before="120" w:after="120" w:line="276" w:lineRule="auto"/>
              <w:ind w:left="101"/>
              <w:jc w:val="both"/>
              <w:rPr>
                <w:sz w:val="26"/>
                <w:szCs w:val="26"/>
                <w:lang w:val="en-US"/>
              </w:rPr>
            </w:pPr>
            <w:r w:rsidRPr="00A359E0">
              <w:rPr>
                <w:sz w:val="26"/>
                <w:szCs w:val="26"/>
              </w:rPr>
              <w:lastRenderedPageBreak/>
              <w:t xml:space="preserve">• Publish updated guidance clarifying which ministry or provincial department is responsible for licensing sensitive imports following the restructuring. </w:t>
            </w:r>
            <w:r w:rsidRPr="00A359E0">
              <w:rPr>
                <w:sz w:val="26"/>
                <w:szCs w:val="26"/>
              </w:rPr>
              <w:br/>
              <w:t xml:space="preserve">• Establish interim </w:t>
            </w:r>
            <w:r w:rsidRPr="00A359E0">
              <w:rPr>
                <w:b/>
                <w:bCs/>
                <w:sz w:val="26"/>
                <w:szCs w:val="26"/>
              </w:rPr>
              <w:t>single contact points</w:t>
            </w:r>
            <w:r w:rsidRPr="00A359E0">
              <w:rPr>
                <w:sz w:val="26"/>
                <w:szCs w:val="26"/>
              </w:rPr>
              <w:t xml:space="preserve"> at the provincial level to handle applications during the transition period. </w:t>
            </w:r>
            <w:r w:rsidRPr="00A359E0">
              <w:rPr>
                <w:sz w:val="26"/>
                <w:szCs w:val="26"/>
              </w:rPr>
              <w:br/>
            </w:r>
            <w:r w:rsidRPr="00A359E0">
              <w:rPr>
                <w:sz w:val="26"/>
                <w:szCs w:val="26"/>
              </w:rPr>
              <w:lastRenderedPageBreak/>
              <w:t>• Update electronic submission systems and official websites promptly to reflect new agency structures, reducing the need for dossier resubmission.</w:t>
            </w:r>
          </w:p>
        </w:tc>
      </w:tr>
      <w:tr w:rsidR="00BA7F5D" w:rsidRPr="000B01C7" w14:paraId="274A3BE8" w14:textId="77777777" w:rsidTr="007A5EBA">
        <w:trPr>
          <w:tblCellSpacing w:w="15" w:type="dxa"/>
        </w:trPr>
        <w:tc>
          <w:tcPr>
            <w:tcW w:w="4350" w:type="dxa"/>
            <w:vAlign w:val="center"/>
            <w:hideMark/>
          </w:tcPr>
          <w:p w14:paraId="0F4B0641" w14:textId="07B84F03" w:rsidR="000B01C7" w:rsidRPr="000B01C7" w:rsidRDefault="00BA7F5D" w:rsidP="00BA7F5D">
            <w:pPr>
              <w:spacing w:before="120" w:after="120" w:line="276" w:lineRule="auto"/>
              <w:ind w:left="86"/>
              <w:jc w:val="both"/>
              <w:rPr>
                <w:sz w:val="26"/>
                <w:szCs w:val="26"/>
                <w:lang w:val="en-US"/>
              </w:rPr>
            </w:pPr>
            <w:r w:rsidRPr="00BA7F5D">
              <w:rPr>
                <w:sz w:val="26"/>
                <w:szCs w:val="26"/>
              </w:rPr>
              <w:lastRenderedPageBreak/>
              <w:t>E-government systems remain fragmented, and many agencies still require physical submissions, limiting the efficiency of digital government initiatives.</w:t>
            </w:r>
          </w:p>
        </w:tc>
        <w:tc>
          <w:tcPr>
            <w:tcW w:w="5767" w:type="dxa"/>
            <w:vAlign w:val="center"/>
            <w:hideMark/>
          </w:tcPr>
          <w:p w14:paraId="7EDCB249" w14:textId="77777777" w:rsidR="000B01C7" w:rsidRDefault="000B01C7" w:rsidP="00BA7F5D">
            <w:pPr>
              <w:spacing w:before="120" w:after="120" w:line="276" w:lineRule="auto"/>
              <w:ind w:left="101"/>
              <w:jc w:val="both"/>
              <w:rPr>
                <w:sz w:val="26"/>
                <w:szCs w:val="26"/>
                <w:lang w:val="en-US"/>
              </w:rPr>
            </w:pPr>
            <w:r w:rsidRPr="000B01C7">
              <w:rPr>
                <w:sz w:val="26"/>
                <w:szCs w:val="26"/>
                <w:lang w:val="en-US"/>
              </w:rPr>
              <w:t xml:space="preserve">• Expand and integrate online portals to enable multi-ministry submissions and tracking. </w:t>
            </w:r>
          </w:p>
          <w:p w14:paraId="4C3BA588" w14:textId="40FB857A" w:rsidR="00BA7F5D" w:rsidRPr="000B01C7" w:rsidRDefault="00BA7F5D" w:rsidP="00BA7F5D">
            <w:pPr>
              <w:spacing w:before="120" w:after="120" w:line="276" w:lineRule="auto"/>
              <w:ind w:left="101"/>
              <w:jc w:val="both"/>
              <w:rPr>
                <w:sz w:val="26"/>
                <w:szCs w:val="26"/>
                <w:lang w:val="en-US"/>
              </w:rPr>
            </w:pPr>
            <w:r w:rsidRPr="00BA7F5D">
              <w:rPr>
                <w:sz w:val="26"/>
                <w:szCs w:val="26"/>
              </w:rPr>
              <w:t>• Expand acceptance of bilingual (Vietnamese/English) online submissions across platforms to improve accessibility for foreign investors.</w:t>
            </w:r>
          </w:p>
        </w:tc>
      </w:tr>
      <w:tr w:rsidR="00BA7F5D" w:rsidRPr="000B01C7" w14:paraId="2A6BCB36" w14:textId="77777777" w:rsidTr="007A5EBA">
        <w:trPr>
          <w:tblCellSpacing w:w="15" w:type="dxa"/>
        </w:trPr>
        <w:tc>
          <w:tcPr>
            <w:tcW w:w="4350" w:type="dxa"/>
            <w:vAlign w:val="center"/>
            <w:hideMark/>
          </w:tcPr>
          <w:p w14:paraId="65E90387" w14:textId="77777777" w:rsidR="000B01C7" w:rsidRPr="000B01C7" w:rsidRDefault="000B01C7" w:rsidP="00BA7F5D">
            <w:pPr>
              <w:spacing w:before="120" w:after="120" w:line="276" w:lineRule="auto"/>
              <w:ind w:left="86"/>
              <w:jc w:val="both"/>
              <w:rPr>
                <w:sz w:val="26"/>
                <w:szCs w:val="26"/>
                <w:lang w:val="en-US"/>
              </w:rPr>
            </w:pPr>
            <w:r w:rsidRPr="000B01C7">
              <w:rPr>
                <w:sz w:val="26"/>
                <w:szCs w:val="26"/>
                <w:lang w:val="en-US"/>
              </w:rPr>
              <w:t>Provincial implementation varies under the new two-tier governance model (Res. 202/2025/QH15 and Res. 203/2025/QH15).</w:t>
            </w:r>
          </w:p>
        </w:tc>
        <w:tc>
          <w:tcPr>
            <w:tcW w:w="5767" w:type="dxa"/>
            <w:vAlign w:val="center"/>
            <w:hideMark/>
          </w:tcPr>
          <w:p w14:paraId="3739407D" w14:textId="77777777" w:rsidR="000B01C7" w:rsidRPr="000B01C7" w:rsidRDefault="000B01C7" w:rsidP="00BA7F5D">
            <w:pPr>
              <w:spacing w:before="120" w:after="120" w:line="276" w:lineRule="auto"/>
              <w:ind w:left="101"/>
              <w:jc w:val="both"/>
              <w:rPr>
                <w:sz w:val="26"/>
                <w:szCs w:val="26"/>
                <w:lang w:val="en-US"/>
              </w:rPr>
            </w:pPr>
            <w:r w:rsidRPr="000B01C7">
              <w:rPr>
                <w:sz w:val="26"/>
                <w:szCs w:val="26"/>
                <w:lang w:val="en-US"/>
              </w:rPr>
              <w:t>• Provide training and capacity-building for provincial officials to ensure consistent interpretation and application of laws.</w:t>
            </w:r>
          </w:p>
        </w:tc>
      </w:tr>
    </w:tbl>
    <w:p w14:paraId="0CDAFDC4" w14:textId="58D663B6" w:rsidR="007A5EBA" w:rsidRDefault="007A5EBA" w:rsidP="00BA7F5D">
      <w:pPr>
        <w:spacing w:before="120" w:after="120" w:line="276" w:lineRule="auto"/>
        <w:jc w:val="both"/>
        <w:rPr>
          <w:b/>
          <w:bCs/>
          <w:sz w:val="26"/>
          <w:szCs w:val="26"/>
          <w:lang w:val="en-US"/>
        </w:rPr>
      </w:pPr>
    </w:p>
    <w:p w14:paraId="214B17A2" w14:textId="24E07D55" w:rsidR="000B01C7" w:rsidRDefault="007A5EBA" w:rsidP="00BA7F5D">
      <w:pPr>
        <w:spacing w:before="120" w:after="120" w:line="276" w:lineRule="auto"/>
        <w:jc w:val="both"/>
        <w:rPr>
          <w:b/>
          <w:bCs/>
          <w:sz w:val="26"/>
          <w:szCs w:val="26"/>
          <w:lang w:val="en-US"/>
        </w:rPr>
      </w:pPr>
      <w:r w:rsidRPr="007A5EBA">
        <w:rPr>
          <w:b/>
          <w:bCs/>
          <w:sz w:val="26"/>
          <w:szCs w:val="26"/>
        </w:rPr>
        <w:t>II. POWER STABILITY FOR INDUSTRY</w:t>
      </w:r>
    </w:p>
    <w:tbl>
      <w:tblPr>
        <w:tblW w:w="1020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5812"/>
      </w:tblGrid>
      <w:tr w:rsidR="007A5EBA" w:rsidRPr="007A5EBA" w14:paraId="33259332" w14:textId="77777777" w:rsidTr="00BA7F5D">
        <w:trPr>
          <w:tblHeader/>
          <w:tblCellSpacing w:w="15" w:type="dxa"/>
        </w:trPr>
        <w:tc>
          <w:tcPr>
            <w:tcW w:w="4350" w:type="dxa"/>
            <w:vAlign w:val="center"/>
            <w:hideMark/>
          </w:tcPr>
          <w:p w14:paraId="1C73D931" w14:textId="77777777" w:rsidR="007A5EBA" w:rsidRPr="007A5EBA" w:rsidRDefault="007A5EBA" w:rsidP="00BA7F5D">
            <w:pPr>
              <w:spacing w:before="120" w:after="120" w:line="276" w:lineRule="auto"/>
              <w:jc w:val="center"/>
              <w:rPr>
                <w:b/>
                <w:bCs/>
                <w:sz w:val="26"/>
                <w:szCs w:val="26"/>
                <w:lang w:val="en-US"/>
              </w:rPr>
            </w:pPr>
            <w:r w:rsidRPr="007A5EBA">
              <w:rPr>
                <w:b/>
                <w:bCs/>
                <w:sz w:val="26"/>
                <w:szCs w:val="26"/>
                <w:lang w:val="en-US"/>
              </w:rPr>
              <w:t>Issue</w:t>
            </w:r>
          </w:p>
        </w:tc>
        <w:tc>
          <w:tcPr>
            <w:tcW w:w="5767" w:type="dxa"/>
            <w:vAlign w:val="center"/>
            <w:hideMark/>
          </w:tcPr>
          <w:p w14:paraId="235FF422" w14:textId="77777777" w:rsidR="007A5EBA" w:rsidRPr="007A5EBA" w:rsidRDefault="007A5EBA" w:rsidP="00BA7F5D">
            <w:pPr>
              <w:spacing w:before="120" w:after="120" w:line="276" w:lineRule="auto"/>
              <w:jc w:val="center"/>
              <w:rPr>
                <w:b/>
                <w:bCs/>
                <w:sz w:val="26"/>
                <w:szCs w:val="26"/>
                <w:lang w:val="en-US"/>
              </w:rPr>
            </w:pPr>
            <w:r w:rsidRPr="007A5EBA">
              <w:rPr>
                <w:b/>
                <w:bCs/>
                <w:sz w:val="26"/>
                <w:szCs w:val="26"/>
                <w:lang w:val="en-US"/>
              </w:rPr>
              <w:t>Recommendations</w:t>
            </w:r>
          </w:p>
        </w:tc>
      </w:tr>
      <w:tr w:rsidR="00BA7F5D" w:rsidRPr="007A5EBA" w14:paraId="45B5EA72" w14:textId="77777777" w:rsidTr="00BA7F5D">
        <w:trPr>
          <w:tblCellSpacing w:w="15" w:type="dxa"/>
        </w:trPr>
        <w:tc>
          <w:tcPr>
            <w:tcW w:w="4350" w:type="dxa"/>
            <w:vAlign w:val="center"/>
            <w:hideMark/>
          </w:tcPr>
          <w:p w14:paraId="438CACA5" w14:textId="77777777" w:rsidR="007A5EBA" w:rsidRPr="007A5EBA" w:rsidRDefault="007A5EBA" w:rsidP="00BA7F5D">
            <w:pPr>
              <w:spacing w:before="120" w:after="120" w:line="276" w:lineRule="auto"/>
              <w:ind w:left="82"/>
              <w:jc w:val="both"/>
              <w:rPr>
                <w:sz w:val="26"/>
                <w:szCs w:val="26"/>
                <w:lang w:val="en-US"/>
              </w:rPr>
            </w:pPr>
            <w:r w:rsidRPr="007A5EBA">
              <w:rPr>
                <w:sz w:val="26"/>
                <w:szCs w:val="26"/>
                <w:lang w:val="en-US"/>
              </w:rPr>
              <w:t>Recent power outages undermine investor confidence.</w:t>
            </w:r>
          </w:p>
        </w:tc>
        <w:tc>
          <w:tcPr>
            <w:tcW w:w="5767" w:type="dxa"/>
            <w:vAlign w:val="center"/>
            <w:hideMark/>
          </w:tcPr>
          <w:p w14:paraId="06C81AB9" w14:textId="77777777" w:rsidR="007A5EBA" w:rsidRPr="007A5EBA" w:rsidRDefault="007A5EBA" w:rsidP="00BA7F5D">
            <w:pPr>
              <w:spacing w:before="120" w:after="120" w:line="276" w:lineRule="auto"/>
              <w:ind w:left="149" w:hanging="7"/>
              <w:jc w:val="both"/>
              <w:rPr>
                <w:sz w:val="26"/>
                <w:szCs w:val="26"/>
                <w:lang w:val="en-US"/>
              </w:rPr>
            </w:pPr>
            <w:r w:rsidRPr="007A5EBA">
              <w:rPr>
                <w:sz w:val="26"/>
                <w:szCs w:val="26"/>
                <w:lang w:val="en-US"/>
              </w:rPr>
              <w:t>• Publish advance outage notices and grid management plans.</w:t>
            </w:r>
          </w:p>
        </w:tc>
      </w:tr>
      <w:tr w:rsidR="00BA7F5D" w:rsidRPr="007A5EBA" w14:paraId="0CBD7D01" w14:textId="77777777" w:rsidTr="00BA7F5D">
        <w:trPr>
          <w:tblCellSpacing w:w="15" w:type="dxa"/>
        </w:trPr>
        <w:tc>
          <w:tcPr>
            <w:tcW w:w="4350" w:type="dxa"/>
            <w:vAlign w:val="center"/>
            <w:hideMark/>
          </w:tcPr>
          <w:p w14:paraId="6EEFFCF0" w14:textId="77777777" w:rsidR="007A5EBA" w:rsidRPr="007A5EBA" w:rsidRDefault="007A5EBA" w:rsidP="00BA7F5D">
            <w:pPr>
              <w:spacing w:before="120" w:after="120" w:line="276" w:lineRule="auto"/>
              <w:ind w:left="82"/>
              <w:jc w:val="both"/>
              <w:rPr>
                <w:sz w:val="26"/>
                <w:szCs w:val="26"/>
                <w:lang w:val="en-US"/>
              </w:rPr>
            </w:pPr>
            <w:r w:rsidRPr="007A5EBA">
              <w:rPr>
                <w:sz w:val="26"/>
                <w:szCs w:val="26"/>
                <w:lang w:val="en-US"/>
              </w:rPr>
              <w:t>Industrial zones face energy shortages and limited renewable uptake.</w:t>
            </w:r>
          </w:p>
        </w:tc>
        <w:tc>
          <w:tcPr>
            <w:tcW w:w="5767" w:type="dxa"/>
            <w:vAlign w:val="center"/>
            <w:hideMark/>
          </w:tcPr>
          <w:p w14:paraId="07C7881D" w14:textId="77777777" w:rsidR="007A5EBA" w:rsidRPr="007A5EBA" w:rsidRDefault="007A5EBA" w:rsidP="00BA7F5D">
            <w:pPr>
              <w:spacing w:before="120" w:after="120" w:line="276" w:lineRule="auto"/>
              <w:ind w:left="149" w:hanging="7"/>
              <w:jc w:val="both"/>
              <w:rPr>
                <w:sz w:val="26"/>
                <w:szCs w:val="26"/>
                <w:lang w:val="en-US"/>
              </w:rPr>
            </w:pPr>
            <w:r w:rsidRPr="007A5EBA">
              <w:rPr>
                <w:sz w:val="26"/>
                <w:szCs w:val="26"/>
                <w:lang w:val="en-US"/>
              </w:rPr>
              <w:t>• Incentivize rooftop/captive solar projects in industrial zones.</w:t>
            </w:r>
          </w:p>
        </w:tc>
      </w:tr>
      <w:tr w:rsidR="00BA7F5D" w:rsidRPr="007A5EBA" w14:paraId="66C16FFD" w14:textId="77777777" w:rsidTr="00BA7F5D">
        <w:trPr>
          <w:tblCellSpacing w:w="15" w:type="dxa"/>
        </w:trPr>
        <w:tc>
          <w:tcPr>
            <w:tcW w:w="4350" w:type="dxa"/>
            <w:vAlign w:val="center"/>
            <w:hideMark/>
          </w:tcPr>
          <w:p w14:paraId="5C71593E" w14:textId="77777777" w:rsidR="007A5EBA" w:rsidRPr="007A5EBA" w:rsidRDefault="007A5EBA" w:rsidP="00BA7F5D">
            <w:pPr>
              <w:spacing w:before="120" w:after="120" w:line="276" w:lineRule="auto"/>
              <w:ind w:left="82"/>
              <w:jc w:val="both"/>
              <w:rPr>
                <w:sz w:val="26"/>
                <w:szCs w:val="26"/>
                <w:lang w:val="en-US"/>
              </w:rPr>
            </w:pPr>
            <w:r w:rsidRPr="007A5EBA">
              <w:rPr>
                <w:sz w:val="26"/>
                <w:szCs w:val="26"/>
                <w:lang w:val="en-US"/>
              </w:rPr>
              <w:t>LNG-to-power projects face slow approvals.</w:t>
            </w:r>
          </w:p>
        </w:tc>
        <w:tc>
          <w:tcPr>
            <w:tcW w:w="5767" w:type="dxa"/>
            <w:vAlign w:val="center"/>
            <w:hideMark/>
          </w:tcPr>
          <w:p w14:paraId="03797D1D" w14:textId="77777777" w:rsidR="007A5EBA" w:rsidRPr="007A5EBA" w:rsidRDefault="007A5EBA" w:rsidP="00BA7F5D">
            <w:pPr>
              <w:spacing w:before="120" w:after="120" w:line="276" w:lineRule="auto"/>
              <w:ind w:left="149" w:hanging="7"/>
              <w:jc w:val="both"/>
              <w:rPr>
                <w:sz w:val="26"/>
                <w:szCs w:val="26"/>
                <w:lang w:val="en-US"/>
              </w:rPr>
            </w:pPr>
            <w:r w:rsidRPr="007A5EBA">
              <w:rPr>
                <w:sz w:val="26"/>
                <w:szCs w:val="26"/>
                <w:lang w:val="en-US"/>
              </w:rPr>
              <w:t>• Fast-track approval processes for credible LNG projects to provide baseload stability.</w:t>
            </w:r>
          </w:p>
        </w:tc>
      </w:tr>
    </w:tbl>
    <w:p w14:paraId="4AEA9F2F" w14:textId="2062E636" w:rsidR="007A5EBA" w:rsidRDefault="007A5EBA" w:rsidP="00BA7F5D">
      <w:pPr>
        <w:spacing w:before="120" w:after="120" w:line="276" w:lineRule="auto"/>
        <w:jc w:val="both"/>
        <w:rPr>
          <w:b/>
          <w:bCs/>
          <w:sz w:val="26"/>
          <w:szCs w:val="26"/>
          <w:lang w:val="en-US"/>
        </w:rPr>
      </w:pPr>
      <w:r>
        <w:rPr>
          <w:b/>
          <w:bCs/>
          <w:sz w:val="26"/>
          <w:szCs w:val="26"/>
          <w:lang w:val="en-US"/>
        </w:rPr>
        <w:lastRenderedPageBreak/>
        <w:t xml:space="preserve">III. </w:t>
      </w:r>
      <w:r w:rsidRPr="007A5EBA">
        <w:rPr>
          <w:b/>
          <w:bCs/>
          <w:sz w:val="26"/>
          <w:szCs w:val="26"/>
          <w:lang w:val="en-US"/>
        </w:rPr>
        <w:t>TALENT MOBILITY</w:t>
      </w:r>
    </w:p>
    <w:p w14:paraId="39A2C252" w14:textId="77777777" w:rsidR="00BA7F5D" w:rsidRPr="00BA7F5D" w:rsidRDefault="00BA7F5D" w:rsidP="00BA7F5D">
      <w:pPr>
        <w:spacing w:before="120" w:after="120" w:line="276" w:lineRule="auto"/>
        <w:jc w:val="both"/>
        <w:rPr>
          <w:sz w:val="26"/>
          <w:szCs w:val="26"/>
          <w:lang w:val="en-US"/>
        </w:rPr>
      </w:pPr>
      <w:r w:rsidRPr="00BA7F5D">
        <w:rPr>
          <w:sz w:val="26"/>
          <w:szCs w:val="26"/>
          <w:lang w:val="en-US"/>
        </w:rPr>
        <w:t>Vietnam has taken an important step forward with the issuance of Decree 219/2025/ND-CP (effective 7 August 2025), which replaces Decrees 152/2020 and 70/2023. This decree simplifies and modernizes regulations on foreign labour management, including digitalisation of applications, decentralisation to provincial authorities, reduced experience requirements, and expanded categories of exemptions. These reforms are welcomed by the foreign business community and align with Vietnam’s broader administrative restructuring.</w:t>
      </w:r>
    </w:p>
    <w:p w14:paraId="3405A725" w14:textId="77777777" w:rsidR="00BA7F5D" w:rsidRPr="00BA7F5D" w:rsidRDefault="00BA7F5D" w:rsidP="00BA7F5D">
      <w:pPr>
        <w:spacing w:before="120" w:after="120" w:line="276" w:lineRule="auto"/>
        <w:jc w:val="both"/>
        <w:rPr>
          <w:sz w:val="26"/>
          <w:szCs w:val="26"/>
          <w:lang w:val="en-US"/>
        </w:rPr>
      </w:pPr>
      <w:r w:rsidRPr="00BA7F5D">
        <w:rPr>
          <w:sz w:val="26"/>
          <w:szCs w:val="26"/>
          <w:lang w:val="en-US"/>
        </w:rPr>
        <w:t xml:space="preserve">However, AusCham members note that </w:t>
      </w:r>
      <w:r w:rsidRPr="00BA7F5D">
        <w:rPr>
          <w:b/>
          <w:bCs/>
          <w:sz w:val="26"/>
          <w:szCs w:val="26"/>
          <w:lang w:val="en-US"/>
        </w:rPr>
        <w:t>inconsistent implementation across provinces</w:t>
      </w:r>
      <w:r w:rsidRPr="00BA7F5D">
        <w:rPr>
          <w:sz w:val="26"/>
          <w:szCs w:val="26"/>
          <w:lang w:val="en-US"/>
        </w:rPr>
        <w:t xml:space="preserve"> and certain regulatory gaps still pose challenges for investors and expatriates.</w:t>
      </w:r>
    </w:p>
    <w:p w14:paraId="5BC74510" w14:textId="77777777" w:rsidR="00BA7F5D" w:rsidRPr="007A5EBA" w:rsidRDefault="00BA7F5D" w:rsidP="00BA7F5D">
      <w:pPr>
        <w:spacing w:before="120" w:after="120" w:line="276" w:lineRule="auto"/>
        <w:jc w:val="both"/>
        <w:rPr>
          <w:b/>
          <w:bCs/>
          <w:sz w:val="26"/>
          <w:szCs w:val="26"/>
          <w:lang w:val="en-US"/>
        </w:rPr>
      </w:pPr>
    </w:p>
    <w:tbl>
      <w:tblPr>
        <w:tblW w:w="1020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5812"/>
      </w:tblGrid>
      <w:tr w:rsidR="007A5EBA" w:rsidRPr="007A5EBA" w14:paraId="08D4F719" w14:textId="77777777" w:rsidTr="00BA7F5D">
        <w:trPr>
          <w:tblHeader/>
          <w:tblCellSpacing w:w="15" w:type="dxa"/>
        </w:trPr>
        <w:tc>
          <w:tcPr>
            <w:tcW w:w="4350" w:type="dxa"/>
            <w:vAlign w:val="center"/>
            <w:hideMark/>
          </w:tcPr>
          <w:p w14:paraId="25E99BED" w14:textId="77777777" w:rsidR="007A5EBA" w:rsidRPr="007A5EBA" w:rsidRDefault="007A5EBA" w:rsidP="00BA7F5D">
            <w:pPr>
              <w:spacing w:before="120" w:after="120" w:line="276" w:lineRule="auto"/>
              <w:jc w:val="center"/>
              <w:rPr>
                <w:b/>
                <w:bCs/>
                <w:sz w:val="26"/>
                <w:szCs w:val="26"/>
                <w:lang w:val="en-US"/>
              </w:rPr>
            </w:pPr>
            <w:r w:rsidRPr="007A5EBA">
              <w:rPr>
                <w:b/>
                <w:bCs/>
                <w:sz w:val="26"/>
                <w:szCs w:val="26"/>
                <w:lang w:val="en-US"/>
              </w:rPr>
              <w:t>Issue</w:t>
            </w:r>
          </w:p>
        </w:tc>
        <w:tc>
          <w:tcPr>
            <w:tcW w:w="5767" w:type="dxa"/>
            <w:vAlign w:val="center"/>
            <w:hideMark/>
          </w:tcPr>
          <w:p w14:paraId="0E0FA260" w14:textId="77777777" w:rsidR="007A5EBA" w:rsidRPr="007A5EBA" w:rsidRDefault="007A5EBA" w:rsidP="00BA7F5D">
            <w:pPr>
              <w:spacing w:before="120" w:after="120" w:line="276" w:lineRule="auto"/>
              <w:jc w:val="center"/>
              <w:rPr>
                <w:b/>
                <w:bCs/>
                <w:sz w:val="26"/>
                <w:szCs w:val="26"/>
                <w:lang w:val="en-US"/>
              </w:rPr>
            </w:pPr>
            <w:r w:rsidRPr="007A5EBA">
              <w:rPr>
                <w:b/>
                <w:bCs/>
                <w:sz w:val="26"/>
                <w:szCs w:val="26"/>
                <w:lang w:val="en-US"/>
              </w:rPr>
              <w:t>Recommendations</w:t>
            </w:r>
          </w:p>
        </w:tc>
      </w:tr>
      <w:tr w:rsidR="007A5EBA" w:rsidRPr="007A5EBA" w14:paraId="591E6FAE" w14:textId="77777777" w:rsidTr="00BA7F5D">
        <w:trPr>
          <w:tblCellSpacing w:w="15" w:type="dxa"/>
        </w:trPr>
        <w:tc>
          <w:tcPr>
            <w:tcW w:w="4350" w:type="dxa"/>
            <w:vAlign w:val="center"/>
            <w:hideMark/>
          </w:tcPr>
          <w:p w14:paraId="6D1832BA" w14:textId="5BF588A7" w:rsidR="007A5EBA" w:rsidRPr="007A5EBA" w:rsidRDefault="007A5EBA" w:rsidP="00BA7F5D">
            <w:pPr>
              <w:spacing w:before="120" w:after="120" w:line="276" w:lineRule="auto"/>
              <w:jc w:val="both"/>
              <w:rPr>
                <w:sz w:val="26"/>
                <w:szCs w:val="26"/>
                <w:lang w:val="en-US"/>
              </w:rPr>
            </w:pPr>
            <w:r w:rsidRPr="00A359E0">
              <w:rPr>
                <w:sz w:val="26"/>
                <w:szCs w:val="26"/>
              </w:rPr>
              <w:t xml:space="preserve">Foreigners who do not hold a Temporary Residence Card (TRC) cannot complete </w:t>
            </w:r>
            <w:r w:rsidRPr="00A359E0">
              <w:rPr>
                <w:b/>
                <w:bCs/>
                <w:sz w:val="26"/>
                <w:szCs w:val="26"/>
              </w:rPr>
              <w:t>VNeID Level-2 registration</w:t>
            </w:r>
            <w:r w:rsidRPr="00A359E0">
              <w:rPr>
                <w:sz w:val="26"/>
                <w:szCs w:val="26"/>
              </w:rPr>
              <w:t>. This limits their ability to access public services and administrative procedures that are increasingly linked to the VNeID platform.</w:t>
            </w:r>
          </w:p>
        </w:tc>
        <w:tc>
          <w:tcPr>
            <w:tcW w:w="5767" w:type="dxa"/>
            <w:vAlign w:val="center"/>
            <w:hideMark/>
          </w:tcPr>
          <w:p w14:paraId="545EEFB2" w14:textId="717B4C0C" w:rsidR="007A5EBA" w:rsidRPr="007A5EBA" w:rsidRDefault="007A5EBA" w:rsidP="00BA7F5D">
            <w:pPr>
              <w:spacing w:before="120" w:after="120" w:line="276" w:lineRule="auto"/>
              <w:jc w:val="both"/>
              <w:rPr>
                <w:sz w:val="26"/>
                <w:szCs w:val="26"/>
                <w:lang w:val="en-US"/>
              </w:rPr>
            </w:pPr>
            <w:r w:rsidRPr="00A359E0">
              <w:rPr>
                <w:sz w:val="26"/>
                <w:szCs w:val="26"/>
              </w:rPr>
              <w:t xml:space="preserve">• Expand eligibility for </w:t>
            </w:r>
            <w:r w:rsidRPr="00A359E0">
              <w:rPr>
                <w:b/>
                <w:bCs/>
                <w:sz w:val="26"/>
                <w:szCs w:val="26"/>
              </w:rPr>
              <w:t>VNeID Level-2 registration</w:t>
            </w:r>
            <w:r w:rsidRPr="00A359E0">
              <w:rPr>
                <w:sz w:val="26"/>
                <w:szCs w:val="26"/>
              </w:rPr>
              <w:t xml:space="preserve"> to include foreigners with long-term visas, work permits, or investment certificates, not only TRC holders. </w:t>
            </w:r>
            <w:r w:rsidRPr="00A359E0">
              <w:rPr>
                <w:sz w:val="26"/>
                <w:szCs w:val="26"/>
              </w:rPr>
              <w:br/>
              <w:t>• Allow businesses to assist employees with group registration, reducing administrative burden.</w:t>
            </w:r>
          </w:p>
        </w:tc>
      </w:tr>
      <w:tr w:rsidR="00BA7F5D" w:rsidRPr="007A5EBA" w14:paraId="648C0BDB" w14:textId="77777777" w:rsidTr="00BA7F5D">
        <w:trPr>
          <w:tblCellSpacing w:w="15" w:type="dxa"/>
        </w:trPr>
        <w:tc>
          <w:tcPr>
            <w:tcW w:w="4350" w:type="dxa"/>
            <w:vAlign w:val="center"/>
          </w:tcPr>
          <w:p w14:paraId="231CAE86" w14:textId="0DC76CA4" w:rsidR="00BA7F5D" w:rsidRPr="00A359E0" w:rsidRDefault="00BA7F5D" w:rsidP="00BA7F5D">
            <w:pPr>
              <w:spacing w:before="120" w:after="120" w:line="276" w:lineRule="auto"/>
              <w:jc w:val="both"/>
              <w:rPr>
                <w:sz w:val="26"/>
                <w:szCs w:val="26"/>
              </w:rPr>
            </w:pPr>
            <w:r w:rsidRPr="00BA7F5D">
              <w:rPr>
                <w:sz w:val="26"/>
                <w:szCs w:val="26"/>
              </w:rPr>
              <w:t>Implementation of Decree 219 may vary across provinces, creating uncertainty for businesses during the transition period.</w:t>
            </w:r>
          </w:p>
        </w:tc>
        <w:tc>
          <w:tcPr>
            <w:tcW w:w="5767" w:type="dxa"/>
            <w:vAlign w:val="center"/>
          </w:tcPr>
          <w:p w14:paraId="1E600427" w14:textId="1875D785" w:rsidR="00BA7F5D" w:rsidRPr="00BA7F5D" w:rsidRDefault="00BA7F5D" w:rsidP="00BA7F5D">
            <w:pPr>
              <w:spacing w:before="120" w:after="120" w:line="276" w:lineRule="auto"/>
              <w:jc w:val="both"/>
              <w:rPr>
                <w:sz w:val="26"/>
                <w:szCs w:val="26"/>
                <w:lang w:val="en-US"/>
              </w:rPr>
            </w:pPr>
            <w:r w:rsidRPr="00BA7F5D">
              <w:rPr>
                <w:sz w:val="26"/>
                <w:szCs w:val="26"/>
              </w:rPr>
              <w:t xml:space="preserve">• MOLISA and the Ministry of Public Security should issue </w:t>
            </w:r>
            <w:r w:rsidRPr="00BA7F5D">
              <w:rPr>
                <w:b/>
                <w:bCs/>
                <w:sz w:val="26"/>
                <w:szCs w:val="26"/>
              </w:rPr>
              <w:t>joint bilingual (Vietnamese/English) guidance</w:t>
            </w:r>
            <w:r w:rsidRPr="00BA7F5D">
              <w:rPr>
                <w:sz w:val="26"/>
                <w:szCs w:val="26"/>
              </w:rPr>
              <w:t xml:space="preserve"> explaining key provisions of Decree 219, including revised eligibility criteria, exemption categories, and notification procedures. </w:t>
            </w:r>
            <w:r w:rsidRPr="00BA7F5D">
              <w:rPr>
                <w:sz w:val="26"/>
                <w:szCs w:val="26"/>
              </w:rPr>
              <w:br/>
              <w:t xml:space="preserve">• Conduct </w:t>
            </w:r>
            <w:r w:rsidRPr="00BA7F5D">
              <w:rPr>
                <w:b/>
                <w:bCs/>
                <w:sz w:val="26"/>
                <w:szCs w:val="26"/>
              </w:rPr>
              <w:t>training workshops</w:t>
            </w:r>
            <w:r w:rsidRPr="00BA7F5D">
              <w:rPr>
                <w:sz w:val="26"/>
                <w:szCs w:val="26"/>
              </w:rPr>
              <w:t xml:space="preserve"> for provincial DOLISA and Immigration officials to ensure consistent nationwide application. </w:t>
            </w:r>
          </w:p>
        </w:tc>
      </w:tr>
    </w:tbl>
    <w:p w14:paraId="3AE88AE6" w14:textId="2653DCDC" w:rsidR="007A5EBA" w:rsidRDefault="007A5EBA" w:rsidP="00BA7F5D">
      <w:pPr>
        <w:spacing w:before="120" w:after="120" w:line="276" w:lineRule="auto"/>
        <w:jc w:val="both"/>
        <w:rPr>
          <w:b/>
          <w:bCs/>
          <w:sz w:val="26"/>
          <w:szCs w:val="26"/>
          <w:lang w:val="en-US"/>
        </w:rPr>
      </w:pPr>
      <w:r>
        <w:rPr>
          <w:b/>
          <w:bCs/>
          <w:sz w:val="26"/>
          <w:szCs w:val="26"/>
          <w:lang w:val="en-US"/>
        </w:rPr>
        <w:lastRenderedPageBreak/>
        <w:t>IV. EDUCATION</w:t>
      </w:r>
    </w:p>
    <w:tbl>
      <w:tblPr>
        <w:tblW w:w="10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5387"/>
      </w:tblGrid>
      <w:tr w:rsidR="007A5EBA" w:rsidRPr="007A5EBA" w14:paraId="75EBCB8F" w14:textId="77777777" w:rsidTr="007A5EBA">
        <w:trPr>
          <w:tblHeader/>
          <w:tblCellSpacing w:w="15" w:type="dxa"/>
        </w:trPr>
        <w:tc>
          <w:tcPr>
            <w:tcW w:w="4628" w:type="dxa"/>
            <w:vAlign w:val="center"/>
            <w:hideMark/>
          </w:tcPr>
          <w:p w14:paraId="6A2747D5" w14:textId="77777777" w:rsidR="007A5EBA" w:rsidRPr="007A5EBA" w:rsidRDefault="007A5EBA" w:rsidP="00BA7F5D">
            <w:pPr>
              <w:spacing w:before="120" w:after="120" w:line="276" w:lineRule="auto"/>
              <w:jc w:val="both"/>
              <w:rPr>
                <w:b/>
                <w:bCs/>
                <w:sz w:val="26"/>
                <w:szCs w:val="26"/>
                <w:lang w:val="en-US"/>
              </w:rPr>
            </w:pPr>
            <w:r w:rsidRPr="007A5EBA">
              <w:rPr>
                <w:b/>
                <w:bCs/>
                <w:sz w:val="26"/>
                <w:szCs w:val="26"/>
                <w:lang w:val="en-US"/>
              </w:rPr>
              <w:t>Issue</w:t>
            </w:r>
          </w:p>
        </w:tc>
        <w:tc>
          <w:tcPr>
            <w:tcW w:w="5342" w:type="dxa"/>
            <w:vAlign w:val="center"/>
            <w:hideMark/>
          </w:tcPr>
          <w:p w14:paraId="7FFBB215" w14:textId="77777777" w:rsidR="007A5EBA" w:rsidRPr="007A5EBA" w:rsidRDefault="007A5EBA" w:rsidP="00BA7F5D">
            <w:pPr>
              <w:spacing w:before="120" w:after="120" w:line="276" w:lineRule="auto"/>
              <w:jc w:val="both"/>
              <w:rPr>
                <w:b/>
                <w:bCs/>
                <w:sz w:val="26"/>
                <w:szCs w:val="26"/>
                <w:lang w:val="en-US"/>
              </w:rPr>
            </w:pPr>
            <w:r w:rsidRPr="007A5EBA">
              <w:rPr>
                <w:b/>
                <w:bCs/>
                <w:sz w:val="26"/>
                <w:szCs w:val="26"/>
                <w:lang w:val="en-US"/>
              </w:rPr>
              <w:t>Recommendations</w:t>
            </w:r>
          </w:p>
        </w:tc>
      </w:tr>
      <w:tr w:rsidR="007A5EBA" w:rsidRPr="007A5EBA" w14:paraId="47478AEE" w14:textId="77777777" w:rsidTr="007A5EBA">
        <w:trPr>
          <w:tblCellSpacing w:w="15" w:type="dxa"/>
        </w:trPr>
        <w:tc>
          <w:tcPr>
            <w:tcW w:w="4628" w:type="dxa"/>
            <w:vAlign w:val="center"/>
            <w:hideMark/>
          </w:tcPr>
          <w:p w14:paraId="71ED1792" w14:textId="77777777" w:rsidR="007A5EBA" w:rsidRPr="007A5EBA" w:rsidRDefault="007A5EBA" w:rsidP="00BA7F5D">
            <w:pPr>
              <w:spacing w:before="120" w:after="120" w:line="276" w:lineRule="auto"/>
              <w:jc w:val="both"/>
              <w:rPr>
                <w:sz w:val="26"/>
                <w:szCs w:val="26"/>
                <w:lang w:val="en-US"/>
              </w:rPr>
            </w:pPr>
            <w:r w:rsidRPr="007A5EBA">
              <w:rPr>
                <w:sz w:val="26"/>
                <w:szCs w:val="26"/>
                <w:lang w:val="en-US"/>
              </w:rPr>
              <w:t xml:space="preserve">Private preschools under 150 children face restrictive network-planning requirements under the </w:t>
            </w:r>
            <w:r w:rsidRPr="007A5EBA">
              <w:rPr>
                <w:i/>
                <w:iCs/>
                <w:sz w:val="26"/>
                <w:szCs w:val="26"/>
                <w:lang w:val="en-US"/>
              </w:rPr>
              <w:t>Law on Education 2019</w:t>
            </w:r>
            <w:r w:rsidRPr="007A5EBA">
              <w:rPr>
                <w:sz w:val="26"/>
                <w:szCs w:val="26"/>
                <w:lang w:val="en-US"/>
              </w:rPr>
              <w:t>.</w:t>
            </w:r>
          </w:p>
        </w:tc>
        <w:tc>
          <w:tcPr>
            <w:tcW w:w="5342" w:type="dxa"/>
            <w:vAlign w:val="center"/>
            <w:hideMark/>
          </w:tcPr>
          <w:p w14:paraId="2FAE2829" w14:textId="77777777" w:rsidR="007A5EBA" w:rsidRPr="007A5EBA" w:rsidRDefault="007A5EBA" w:rsidP="00BA7F5D">
            <w:pPr>
              <w:spacing w:before="120" w:after="120" w:line="276" w:lineRule="auto"/>
              <w:jc w:val="both"/>
              <w:rPr>
                <w:sz w:val="26"/>
                <w:szCs w:val="26"/>
                <w:lang w:val="en-US"/>
              </w:rPr>
            </w:pPr>
            <w:r w:rsidRPr="007A5EBA">
              <w:rPr>
                <w:sz w:val="26"/>
                <w:szCs w:val="26"/>
                <w:lang w:val="en-US"/>
              </w:rPr>
              <w:t>• Exempt small-scale preschools from the requirement. • Encourage private sector participation in early childhood education.</w:t>
            </w:r>
          </w:p>
        </w:tc>
      </w:tr>
    </w:tbl>
    <w:p w14:paraId="524AEA83" w14:textId="77777777" w:rsidR="00A359E0" w:rsidRDefault="00A359E0" w:rsidP="00BA7F5D">
      <w:pPr>
        <w:spacing w:before="120" w:after="120" w:line="276" w:lineRule="auto"/>
        <w:jc w:val="both"/>
        <w:rPr>
          <w:b/>
          <w:bCs/>
          <w:sz w:val="26"/>
          <w:szCs w:val="26"/>
          <w:lang w:val="en-US"/>
        </w:rPr>
      </w:pPr>
    </w:p>
    <w:p w14:paraId="64D193F5" w14:textId="72A8D6F2" w:rsidR="007A5EBA" w:rsidRPr="007A5EBA" w:rsidRDefault="007A5EBA" w:rsidP="00BA7F5D">
      <w:pPr>
        <w:spacing w:before="120" w:after="120" w:line="276" w:lineRule="auto"/>
        <w:jc w:val="both"/>
        <w:rPr>
          <w:b/>
          <w:bCs/>
          <w:sz w:val="26"/>
          <w:szCs w:val="26"/>
          <w:lang w:val="en-US"/>
        </w:rPr>
      </w:pPr>
      <w:r w:rsidRPr="007A5EBA">
        <w:rPr>
          <w:b/>
          <w:bCs/>
          <w:sz w:val="26"/>
          <w:szCs w:val="26"/>
          <w:lang w:val="en-US"/>
        </w:rPr>
        <w:t>CONCLUSION</w:t>
      </w:r>
    </w:p>
    <w:p w14:paraId="57260687" w14:textId="77777777" w:rsidR="007A5EBA" w:rsidRPr="007A5EBA" w:rsidRDefault="007A5EBA" w:rsidP="00BA7F5D">
      <w:pPr>
        <w:spacing w:before="120" w:after="120" w:line="276" w:lineRule="auto"/>
        <w:jc w:val="both"/>
        <w:rPr>
          <w:sz w:val="26"/>
          <w:szCs w:val="26"/>
          <w:lang w:val="en-US"/>
        </w:rPr>
      </w:pPr>
      <w:r w:rsidRPr="007A5EBA">
        <w:rPr>
          <w:sz w:val="26"/>
          <w:szCs w:val="26"/>
          <w:lang w:val="en-US"/>
        </w:rPr>
        <w:t>AusCham commends the Government for its decisive 2025 administrative restructuring (Resolutions 60-NQ/TW, 202/2025/QH15, 203/2025/QH15) and ongoing reform efforts. By complementing these structural changes with targeted measures in energy, digital transformation, talent mobility, healthcare, education, and dispute resolution, Vietnam can further enhance its investment environment and realize its vision for sustainable, innovation-driven growth.</w:t>
      </w:r>
    </w:p>
    <w:p w14:paraId="68D551CA" w14:textId="6A1C2A3B" w:rsidR="007A5EBA" w:rsidRPr="007A5EBA" w:rsidRDefault="007A5EBA" w:rsidP="00BA7F5D">
      <w:pPr>
        <w:spacing w:before="120" w:after="120" w:line="276" w:lineRule="auto"/>
        <w:jc w:val="both"/>
        <w:rPr>
          <w:sz w:val="26"/>
          <w:szCs w:val="26"/>
          <w:lang w:val="en-US"/>
        </w:rPr>
      </w:pPr>
      <w:r w:rsidRPr="007A5EBA">
        <w:rPr>
          <w:sz w:val="26"/>
          <w:szCs w:val="26"/>
          <w:lang w:val="en-US"/>
        </w:rPr>
        <w:t>AusCham and its members stand ready to work with the Government and relevant ministries to translate these recommendations into practical outcomes</w:t>
      </w:r>
      <w:r>
        <w:rPr>
          <w:sz w:val="26"/>
          <w:szCs w:val="26"/>
          <w:lang w:val="en-US"/>
        </w:rPr>
        <w:t xml:space="preserve">. </w:t>
      </w:r>
    </w:p>
    <w:p w14:paraId="6B266733" w14:textId="77777777" w:rsidR="007A5EBA" w:rsidRPr="007A5EBA" w:rsidRDefault="007A5EBA" w:rsidP="00BA7F5D">
      <w:pPr>
        <w:spacing w:before="120" w:after="120" w:line="276" w:lineRule="auto"/>
        <w:jc w:val="both"/>
        <w:rPr>
          <w:b/>
          <w:bCs/>
          <w:sz w:val="26"/>
          <w:szCs w:val="26"/>
          <w:lang w:val="en-US"/>
        </w:rPr>
      </w:pPr>
    </w:p>
    <w:sectPr w:rsidR="007A5EBA" w:rsidRPr="007A5E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8E0B" w14:textId="77777777" w:rsidR="00605075" w:rsidRDefault="00605075">
      <w:r>
        <w:separator/>
      </w:r>
    </w:p>
  </w:endnote>
  <w:endnote w:type="continuationSeparator" w:id="0">
    <w:p w14:paraId="34D06150" w14:textId="77777777" w:rsidR="00605075" w:rsidRDefault="0060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6D65" w14:textId="77777777" w:rsidR="00FD6916" w:rsidRDefault="00FD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9EC7" w14:textId="77777777" w:rsidR="00050756" w:rsidRDefault="00497B91">
    <w:pPr>
      <w:pBdr>
        <w:top w:val="nil"/>
        <w:left w:val="nil"/>
        <w:bottom w:val="nil"/>
        <w:right w:val="nil"/>
        <w:between w:val="nil"/>
      </w:pBdr>
      <w:tabs>
        <w:tab w:val="center" w:pos="4680"/>
        <w:tab w:val="right" w:pos="9360"/>
        <w:tab w:val="left" w:pos="7420"/>
      </w:tabs>
      <w:rPr>
        <w:color w:val="000000"/>
      </w:rPr>
    </w:pPr>
    <w:r>
      <w:rPr>
        <w:color w:val="000000"/>
      </w:rPr>
      <w:tab/>
    </w:r>
  </w:p>
  <w:tbl>
    <w:tblPr>
      <w:tblStyle w:val="a0"/>
      <w:tblW w:w="10773"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3261"/>
      <w:gridCol w:w="4110"/>
      <w:gridCol w:w="3402"/>
    </w:tblGrid>
    <w:tr w:rsidR="00050756" w14:paraId="05C3E961" w14:textId="77777777">
      <w:tc>
        <w:tcPr>
          <w:tcW w:w="3261" w:type="dxa"/>
        </w:tcPr>
        <w:p w14:paraId="71ABF85B" w14:textId="77777777" w:rsidR="00050756" w:rsidRDefault="00497B91">
          <w:pPr>
            <w:pBdr>
              <w:top w:val="nil"/>
              <w:left w:val="nil"/>
              <w:bottom w:val="nil"/>
              <w:right w:val="nil"/>
              <w:between w:val="nil"/>
            </w:pBdr>
            <w:tabs>
              <w:tab w:val="center" w:pos="4680"/>
              <w:tab w:val="right" w:pos="9360"/>
              <w:tab w:val="left" w:pos="7420"/>
            </w:tabs>
            <w:rPr>
              <w:rFonts w:ascii="Arial" w:eastAsia="Arial" w:hAnsi="Arial" w:cs="Arial"/>
              <w:b/>
              <w:color w:val="477475"/>
              <w:sz w:val="16"/>
              <w:szCs w:val="16"/>
            </w:rPr>
          </w:pPr>
          <w:r>
            <w:rPr>
              <w:rFonts w:ascii="Arial" w:eastAsia="Arial" w:hAnsi="Arial" w:cs="Arial"/>
              <w:b/>
              <w:color w:val="477475"/>
              <w:sz w:val="16"/>
              <w:szCs w:val="16"/>
            </w:rPr>
            <w:t>Hiệp Hội</w:t>
          </w:r>
        </w:p>
        <w:p w14:paraId="6D63A082" w14:textId="77777777" w:rsidR="00050756" w:rsidRDefault="00497B91">
          <w:pPr>
            <w:pBdr>
              <w:top w:val="nil"/>
              <w:left w:val="nil"/>
              <w:bottom w:val="nil"/>
              <w:right w:val="nil"/>
              <w:between w:val="nil"/>
            </w:pBdr>
            <w:tabs>
              <w:tab w:val="center" w:pos="4680"/>
              <w:tab w:val="right" w:pos="9360"/>
              <w:tab w:val="left" w:pos="7420"/>
            </w:tabs>
            <w:rPr>
              <w:rFonts w:ascii="Arial" w:eastAsia="Arial" w:hAnsi="Arial" w:cs="Arial"/>
              <w:b/>
              <w:color w:val="477475"/>
              <w:sz w:val="16"/>
              <w:szCs w:val="16"/>
            </w:rPr>
          </w:pPr>
          <w:r>
            <w:rPr>
              <w:rFonts w:ascii="Arial" w:eastAsia="Arial" w:hAnsi="Arial" w:cs="Arial"/>
              <w:b/>
              <w:color w:val="477475"/>
              <w:sz w:val="16"/>
              <w:szCs w:val="16"/>
            </w:rPr>
            <w:t>Doanh Nghiệp Úc</w:t>
          </w:r>
        </w:p>
        <w:p w14:paraId="22119955" w14:textId="77777777" w:rsidR="00050756" w:rsidRDefault="00497B91">
          <w:pPr>
            <w:pBdr>
              <w:top w:val="nil"/>
              <w:left w:val="nil"/>
              <w:bottom w:val="nil"/>
              <w:right w:val="nil"/>
              <w:between w:val="nil"/>
            </w:pBdr>
            <w:tabs>
              <w:tab w:val="center" w:pos="4680"/>
              <w:tab w:val="right" w:pos="9360"/>
              <w:tab w:val="left" w:pos="7420"/>
            </w:tabs>
            <w:rPr>
              <w:rFonts w:ascii="Arial" w:eastAsia="Arial" w:hAnsi="Arial" w:cs="Arial"/>
              <w:b/>
              <w:color w:val="477475"/>
              <w:sz w:val="16"/>
              <w:szCs w:val="16"/>
            </w:rPr>
          </w:pPr>
          <w:r>
            <w:rPr>
              <w:rFonts w:ascii="Arial" w:eastAsia="Arial" w:hAnsi="Arial" w:cs="Arial"/>
              <w:b/>
              <w:color w:val="477475"/>
              <w:sz w:val="16"/>
              <w:szCs w:val="16"/>
            </w:rPr>
            <w:t>tại Việt Nam</w:t>
          </w:r>
        </w:p>
        <w:p w14:paraId="18342055" w14:textId="77777777" w:rsidR="00050756" w:rsidRDefault="00050756">
          <w:pPr>
            <w:pBdr>
              <w:top w:val="nil"/>
              <w:left w:val="nil"/>
              <w:bottom w:val="nil"/>
              <w:right w:val="nil"/>
              <w:between w:val="nil"/>
            </w:pBdr>
            <w:tabs>
              <w:tab w:val="center" w:pos="4680"/>
              <w:tab w:val="right" w:pos="9360"/>
              <w:tab w:val="left" w:pos="7420"/>
            </w:tabs>
            <w:rPr>
              <w:rFonts w:ascii="Arial" w:eastAsia="Arial" w:hAnsi="Arial" w:cs="Arial"/>
              <w:b/>
              <w:color w:val="477475"/>
              <w:sz w:val="16"/>
              <w:szCs w:val="16"/>
            </w:rPr>
          </w:pPr>
        </w:p>
        <w:p w14:paraId="22C9172D" w14:textId="77777777" w:rsidR="00050756" w:rsidRDefault="00050756">
          <w:pPr>
            <w:pBdr>
              <w:top w:val="nil"/>
              <w:left w:val="nil"/>
              <w:bottom w:val="nil"/>
              <w:right w:val="nil"/>
              <w:between w:val="nil"/>
            </w:pBdr>
            <w:tabs>
              <w:tab w:val="center" w:pos="4680"/>
              <w:tab w:val="right" w:pos="9360"/>
              <w:tab w:val="left" w:pos="7420"/>
            </w:tabs>
            <w:rPr>
              <w:rFonts w:ascii="Arial" w:eastAsia="Arial" w:hAnsi="Arial" w:cs="Arial"/>
              <w:b/>
              <w:color w:val="477475"/>
              <w:sz w:val="16"/>
              <w:szCs w:val="16"/>
            </w:rPr>
          </w:pPr>
        </w:p>
        <w:p w14:paraId="178AD8F7" w14:textId="77777777" w:rsidR="00050756" w:rsidRDefault="00497B91">
          <w:pPr>
            <w:pBdr>
              <w:top w:val="nil"/>
              <w:left w:val="nil"/>
              <w:bottom w:val="nil"/>
              <w:right w:val="nil"/>
              <w:between w:val="nil"/>
            </w:pBdr>
            <w:tabs>
              <w:tab w:val="center" w:pos="4680"/>
              <w:tab w:val="right" w:pos="9360"/>
              <w:tab w:val="left" w:pos="7420"/>
            </w:tabs>
            <w:rPr>
              <w:rFonts w:ascii="Arial" w:eastAsia="Arial" w:hAnsi="Arial" w:cs="Arial"/>
              <w:color w:val="000000"/>
              <w:sz w:val="16"/>
              <w:szCs w:val="16"/>
            </w:rPr>
          </w:pPr>
          <w:r>
            <w:rPr>
              <w:rFonts w:ascii="Arial" w:eastAsia="Arial" w:hAnsi="Arial" w:cs="Arial"/>
              <w:b/>
              <w:color w:val="477475"/>
              <w:sz w:val="16"/>
              <w:szCs w:val="16"/>
            </w:rPr>
            <w:t>AUSCHAMVN.ORG</w:t>
          </w:r>
        </w:p>
      </w:tc>
      <w:tc>
        <w:tcPr>
          <w:tcW w:w="4110" w:type="dxa"/>
        </w:tcPr>
        <w:p w14:paraId="44B23760" w14:textId="77777777" w:rsidR="00050756" w:rsidRDefault="00497B91">
          <w:pPr>
            <w:pBdr>
              <w:top w:val="nil"/>
              <w:left w:val="nil"/>
              <w:bottom w:val="nil"/>
              <w:right w:val="nil"/>
              <w:between w:val="nil"/>
            </w:pBdr>
            <w:tabs>
              <w:tab w:val="center" w:pos="4680"/>
              <w:tab w:val="right" w:pos="9360"/>
              <w:tab w:val="left" w:pos="7420"/>
            </w:tabs>
            <w:spacing w:line="276" w:lineRule="auto"/>
            <w:rPr>
              <w:rFonts w:ascii="Arial" w:eastAsia="Arial" w:hAnsi="Arial" w:cs="Arial"/>
              <w:b/>
              <w:color w:val="477475"/>
              <w:sz w:val="16"/>
              <w:szCs w:val="16"/>
            </w:rPr>
          </w:pPr>
          <w:r>
            <w:rPr>
              <w:rFonts w:ascii="Arial" w:eastAsia="Arial" w:hAnsi="Arial" w:cs="Arial"/>
              <w:b/>
              <w:color w:val="477475"/>
              <w:sz w:val="16"/>
              <w:szCs w:val="16"/>
            </w:rPr>
            <w:t>Ho Chi Minh City</w:t>
          </w:r>
        </w:p>
        <w:p w14:paraId="040327D5" w14:textId="77777777" w:rsidR="00050756" w:rsidRDefault="00497B91">
          <w:pPr>
            <w:pBdr>
              <w:top w:val="nil"/>
              <w:left w:val="nil"/>
              <w:bottom w:val="nil"/>
              <w:right w:val="nil"/>
              <w:between w:val="nil"/>
            </w:pBdr>
            <w:tabs>
              <w:tab w:val="center" w:pos="4680"/>
              <w:tab w:val="right" w:pos="9360"/>
              <w:tab w:val="left" w:pos="7420"/>
            </w:tabs>
            <w:spacing w:line="276" w:lineRule="auto"/>
            <w:rPr>
              <w:rFonts w:ascii="Arial" w:eastAsia="Arial" w:hAnsi="Arial" w:cs="Arial"/>
              <w:color w:val="477475"/>
              <w:sz w:val="16"/>
              <w:szCs w:val="16"/>
            </w:rPr>
          </w:pPr>
          <w:r>
            <w:rPr>
              <w:rFonts w:ascii="Arial" w:eastAsia="Arial" w:hAnsi="Arial" w:cs="Arial"/>
              <w:color w:val="477475"/>
              <w:sz w:val="16"/>
              <w:szCs w:val="16"/>
            </w:rPr>
            <w:t>3F, Sonatus Building, 15 Le Thanh Ton</w:t>
          </w:r>
        </w:p>
        <w:p w14:paraId="081BD493" w14:textId="282EA23F" w:rsidR="00050756" w:rsidRPr="00FD6916" w:rsidRDefault="00FD6916">
          <w:pPr>
            <w:pBdr>
              <w:top w:val="nil"/>
              <w:left w:val="nil"/>
              <w:bottom w:val="nil"/>
              <w:right w:val="nil"/>
              <w:between w:val="nil"/>
            </w:pBdr>
            <w:tabs>
              <w:tab w:val="center" w:pos="4680"/>
              <w:tab w:val="right" w:pos="9360"/>
              <w:tab w:val="left" w:pos="7420"/>
            </w:tabs>
            <w:spacing w:line="276" w:lineRule="auto"/>
            <w:rPr>
              <w:rFonts w:ascii="Arial" w:eastAsia="Arial" w:hAnsi="Arial" w:cs="Arial"/>
              <w:color w:val="477475"/>
              <w:sz w:val="16"/>
              <w:szCs w:val="16"/>
              <w:lang w:val="en-US"/>
            </w:rPr>
          </w:pPr>
          <w:r>
            <w:rPr>
              <w:rFonts w:ascii="Arial" w:eastAsia="Arial" w:hAnsi="Arial" w:cs="Arial"/>
              <w:color w:val="477475"/>
              <w:sz w:val="16"/>
              <w:szCs w:val="16"/>
              <w:lang w:val="en-US"/>
            </w:rPr>
            <w:t>Sai Gon Ward</w:t>
          </w:r>
        </w:p>
        <w:p w14:paraId="2EB6B5BD" w14:textId="77777777" w:rsidR="00050756" w:rsidRDefault="00497B91">
          <w:pPr>
            <w:pBdr>
              <w:top w:val="nil"/>
              <w:left w:val="nil"/>
              <w:bottom w:val="nil"/>
              <w:right w:val="nil"/>
              <w:between w:val="nil"/>
            </w:pBdr>
            <w:tabs>
              <w:tab w:val="center" w:pos="4680"/>
              <w:tab w:val="right" w:pos="9360"/>
              <w:tab w:val="left" w:pos="7420"/>
            </w:tabs>
            <w:spacing w:line="276" w:lineRule="auto"/>
            <w:rPr>
              <w:rFonts w:ascii="Arial" w:eastAsia="Arial" w:hAnsi="Arial" w:cs="Arial"/>
              <w:color w:val="477475"/>
              <w:sz w:val="16"/>
              <w:szCs w:val="16"/>
            </w:rPr>
          </w:pPr>
          <w:r>
            <w:rPr>
              <w:rFonts w:ascii="Arial" w:eastAsia="Arial" w:hAnsi="Arial" w:cs="Arial"/>
              <w:color w:val="477475"/>
              <w:sz w:val="16"/>
              <w:szCs w:val="16"/>
            </w:rPr>
            <w:t>T: +84 (0) 28 7100 1909</w:t>
          </w:r>
        </w:p>
        <w:p w14:paraId="3266DF30" w14:textId="77777777" w:rsidR="00050756" w:rsidRDefault="00497B91">
          <w:pPr>
            <w:pBdr>
              <w:top w:val="nil"/>
              <w:left w:val="nil"/>
              <w:bottom w:val="nil"/>
              <w:right w:val="nil"/>
              <w:between w:val="nil"/>
            </w:pBdr>
            <w:tabs>
              <w:tab w:val="center" w:pos="4680"/>
              <w:tab w:val="right" w:pos="9360"/>
              <w:tab w:val="left" w:pos="7420"/>
            </w:tabs>
            <w:spacing w:line="276" w:lineRule="auto"/>
            <w:rPr>
              <w:rFonts w:ascii="Arial" w:eastAsia="Arial" w:hAnsi="Arial" w:cs="Arial"/>
              <w:color w:val="000000"/>
              <w:sz w:val="16"/>
              <w:szCs w:val="16"/>
            </w:rPr>
          </w:pPr>
          <w:r>
            <w:rPr>
              <w:rFonts w:ascii="Arial" w:eastAsia="Arial" w:hAnsi="Arial" w:cs="Arial"/>
              <w:color w:val="477475"/>
              <w:sz w:val="16"/>
              <w:szCs w:val="16"/>
            </w:rPr>
            <w:t>E: office@auschamvn.org</w:t>
          </w:r>
        </w:p>
      </w:tc>
      <w:tc>
        <w:tcPr>
          <w:tcW w:w="3402" w:type="dxa"/>
        </w:tcPr>
        <w:p w14:paraId="2F8D11E0" w14:textId="77777777" w:rsidR="00050756" w:rsidRDefault="00497B91">
          <w:pPr>
            <w:pBdr>
              <w:top w:val="nil"/>
              <w:left w:val="nil"/>
              <w:bottom w:val="nil"/>
              <w:right w:val="nil"/>
              <w:between w:val="nil"/>
            </w:pBdr>
            <w:tabs>
              <w:tab w:val="center" w:pos="4680"/>
              <w:tab w:val="right" w:pos="9360"/>
              <w:tab w:val="left" w:pos="7420"/>
            </w:tabs>
            <w:spacing w:line="276" w:lineRule="auto"/>
            <w:rPr>
              <w:rFonts w:ascii="Arial" w:eastAsia="Arial" w:hAnsi="Arial" w:cs="Arial"/>
              <w:b/>
              <w:color w:val="477475"/>
              <w:sz w:val="16"/>
              <w:szCs w:val="16"/>
            </w:rPr>
          </w:pPr>
          <w:r>
            <w:rPr>
              <w:rFonts w:ascii="Arial" w:eastAsia="Arial" w:hAnsi="Arial" w:cs="Arial"/>
              <w:b/>
              <w:color w:val="477475"/>
              <w:sz w:val="16"/>
              <w:szCs w:val="16"/>
            </w:rPr>
            <w:t>Hanoi</w:t>
          </w:r>
        </w:p>
        <w:p w14:paraId="51F38542" w14:textId="4EF1ECFE" w:rsidR="00050756" w:rsidRPr="00FD6916" w:rsidRDefault="00601063">
          <w:pPr>
            <w:pBdr>
              <w:top w:val="nil"/>
              <w:left w:val="nil"/>
              <w:bottom w:val="nil"/>
              <w:right w:val="nil"/>
              <w:between w:val="nil"/>
            </w:pBdr>
            <w:tabs>
              <w:tab w:val="center" w:pos="4680"/>
              <w:tab w:val="right" w:pos="9360"/>
              <w:tab w:val="left" w:pos="7420"/>
            </w:tabs>
            <w:spacing w:line="276" w:lineRule="auto"/>
            <w:rPr>
              <w:rFonts w:ascii="Arial" w:eastAsia="Arial" w:hAnsi="Arial" w:cs="Arial"/>
              <w:color w:val="477475"/>
              <w:sz w:val="16"/>
              <w:szCs w:val="16"/>
              <w:lang w:val="en-US"/>
            </w:rPr>
          </w:pPr>
          <w:r>
            <w:rPr>
              <w:rFonts w:ascii="Arial" w:eastAsia="Arial" w:hAnsi="Arial" w:cs="Arial"/>
              <w:color w:val="477475"/>
              <w:sz w:val="16"/>
              <w:szCs w:val="16"/>
              <w:lang w:val="en-US"/>
            </w:rPr>
            <w:t>13</w:t>
          </w:r>
          <w:r w:rsidR="00497B91">
            <w:rPr>
              <w:rFonts w:ascii="Arial" w:eastAsia="Arial" w:hAnsi="Arial" w:cs="Arial"/>
              <w:color w:val="477475"/>
              <w:sz w:val="16"/>
              <w:szCs w:val="16"/>
            </w:rPr>
            <w:t xml:space="preserve">F, </w:t>
          </w:r>
          <w:r>
            <w:rPr>
              <w:rFonts w:ascii="Arial" w:eastAsia="Arial" w:hAnsi="Arial" w:cs="Arial"/>
              <w:color w:val="477475"/>
              <w:sz w:val="16"/>
              <w:szCs w:val="16"/>
              <w:lang w:val="en-US"/>
            </w:rPr>
            <w:t>Regus Hanoi Tower</w:t>
          </w:r>
          <w:r w:rsidR="00497B91">
            <w:rPr>
              <w:rFonts w:ascii="Arial" w:eastAsia="Arial" w:hAnsi="Arial" w:cs="Arial"/>
              <w:color w:val="477475"/>
              <w:sz w:val="16"/>
              <w:szCs w:val="16"/>
            </w:rPr>
            <w:t xml:space="preserve">, </w:t>
          </w:r>
          <w:r>
            <w:rPr>
              <w:rFonts w:ascii="Arial" w:eastAsia="Arial" w:hAnsi="Arial" w:cs="Arial"/>
              <w:color w:val="477475"/>
              <w:sz w:val="16"/>
              <w:szCs w:val="16"/>
              <w:lang w:val="en-US"/>
            </w:rPr>
            <w:t>49 Hai Ba Trung</w:t>
          </w:r>
          <w:r w:rsidR="00497B91">
            <w:rPr>
              <w:rFonts w:ascii="Arial" w:eastAsia="Arial" w:hAnsi="Arial" w:cs="Arial"/>
              <w:color w:val="477475"/>
              <w:sz w:val="16"/>
              <w:szCs w:val="16"/>
            </w:rPr>
            <w:t xml:space="preserve"> Street, </w:t>
          </w:r>
          <w:r w:rsidR="00FD6916">
            <w:rPr>
              <w:rFonts w:ascii="Arial" w:eastAsia="Arial" w:hAnsi="Arial" w:cs="Arial"/>
              <w:color w:val="477475"/>
              <w:sz w:val="16"/>
              <w:szCs w:val="16"/>
              <w:lang w:val="en-US"/>
            </w:rPr>
            <w:t>Cua Nam Ward</w:t>
          </w:r>
        </w:p>
        <w:p w14:paraId="064C0860" w14:textId="77777777" w:rsidR="00050756" w:rsidRDefault="00497B91">
          <w:pPr>
            <w:pBdr>
              <w:top w:val="nil"/>
              <w:left w:val="nil"/>
              <w:bottom w:val="nil"/>
              <w:right w:val="nil"/>
              <w:between w:val="nil"/>
            </w:pBdr>
            <w:tabs>
              <w:tab w:val="center" w:pos="4680"/>
              <w:tab w:val="right" w:pos="9360"/>
              <w:tab w:val="left" w:pos="7420"/>
            </w:tabs>
            <w:spacing w:line="276" w:lineRule="auto"/>
            <w:rPr>
              <w:rFonts w:ascii="Arial" w:eastAsia="Arial" w:hAnsi="Arial" w:cs="Arial"/>
              <w:color w:val="477475"/>
              <w:sz w:val="16"/>
              <w:szCs w:val="16"/>
            </w:rPr>
          </w:pPr>
          <w:r>
            <w:rPr>
              <w:rFonts w:ascii="Arial" w:eastAsia="Arial" w:hAnsi="Arial" w:cs="Arial"/>
              <w:color w:val="477475"/>
              <w:sz w:val="16"/>
              <w:szCs w:val="16"/>
            </w:rPr>
            <w:t>T: +84 (0) 24 7101 4054</w:t>
          </w:r>
        </w:p>
        <w:p w14:paraId="2DEA04B9" w14:textId="77777777" w:rsidR="00050756" w:rsidRDefault="00497B91">
          <w:pPr>
            <w:pBdr>
              <w:top w:val="nil"/>
              <w:left w:val="nil"/>
              <w:bottom w:val="nil"/>
              <w:right w:val="nil"/>
              <w:between w:val="nil"/>
            </w:pBdr>
            <w:tabs>
              <w:tab w:val="center" w:pos="4680"/>
              <w:tab w:val="right" w:pos="9360"/>
              <w:tab w:val="left" w:pos="7420"/>
            </w:tabs>
            <w:spacing w:line="276" w:lineRule="auto"/>
            <w:rPr>
              <w:rFonts w:ascii="Arial" w:eastAsia="Arial" w:hAnsi="Arial" w:cs="Arial"/>
              <w:color w:val="000000"/>
              <w:sz w:val="16"/>
              <w:szCs w:val="16"/>
            </w:rPr>
          </w:pPr>
          <w:r>
            <w:rPr>
              <w:rFonts w:ascii="Arial" w:eastAsia="Arial" w:hAnsi="Arial" w:cs="Arial"/>
              <w:color w:val="477475"/>
              <w:sz w:val="16"/>
              <w:szCs w:val="16"/>
            </w:rPr>
            <w:t>E: auschamhanoi@auschamvn.org</w:t>
          </w:r>
        </w:p>
      </w:tc>
    </w:tr>
  </w:tbl>
  <w:p w14:paraId="47DCDC3E" w14:textId="77777777" w:rsidR="00050756" w:rsidRDefault="00050756">
    <w:pPr>
      <w:pBdr>
        <w:top w:val="nil"/>
        <w:left w:val="nil"/>
        <w:bottom w:val="nil"/>
        <w:right w:val="nil"/>
        <w:between w:val="nil"/>
      </w:pBdr>
      <w:tabs>
        <w:tab w:val="center" w:pos="4680"/>
        <w:tab w:val="right" w:pos="9360"/>
        <w:tab w:val="left" w:pos="742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554D" w14:textId="77777777" w:rsidR="00FD6916" w:rsidRDefault="00FD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6A7E" w14:textId="77777777" w:rsidR="00605075" w:rsidRDefault="00605075">
      <w:r>
        <w:separator/>
      </w:r>
    </w:p>
  </w:footnote>
  <w:footnote w:type="continuationSeparator" w:id="0">
    <w:p w14:paraId="24160A9E" w14:textId="77777777" w:rsidR="00605075" w:rsidRDefault="0060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D3E3" w14:textId="77777777" w:rsidR="00FD6916" w:rsidRDefault="00FD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2F70" w14:textId="77777777" w:rsidR="00050756" w:rsidRDefault="00050756">
    <w:pPr>
      <w:widowControl w:val="0"/>
      <w:pBdr>
        <w:top w:val="nil"/>
        <w:left w:val="nil"/>
        <w:bottom w:val="nil"/>
        <w:right w:val="nil"/>
        <w:between w:val="nil"/>
      </w:pBdr>
      <w:spacing w:line="276" w:lineRule="auto"/>
    </w:pPr>
  </w:p>
  <w:tbl>
    <w:tblPr>
      <w:tblStyle w:val="a"/>
      <w:tblW w:w="10773"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5247"/>
      <w:gridCol w:w="5526"/>
    </w:tblGrid>
    <w:tr w:rsidR="00050756" w14:paraId="6AEFE423" w14:textId="77777777">
      <w:tc>
        <w:tcPr>
          <w:tcW w:w="5247" w:type="dxa"/>
          <w:vAlign w:val="center"/>
        </w:tcPr>
        <w:p w14:paraId="7EC4B7EC" w14:textId="77777777" w:rsidR="00050756" w:rsidRDefault="00497B91">
          <w:pPr>
            <w:pBdr>
              <w:top w:val="nil"/>
              <w:left w:val="nil"/>
              <w:bottom w:val="nil"/>
              <w:right w:val="nil"/>
              <w:between w:val="nil"/>
            </w:pBdr>
            <w:tabs>
              <w:tab w:val="center" w:pos="4680"/>
              <w:tab w:val="right" w:pos="9360"/>
            </w:tabs>
            <w:rPr>
              <w:rFonts w:ascii="Arial" w:eastAsia="Arial" w:hAnsi="Arial" w:cs="Arial"/>
              <w:b/>
              <w:color w:val="477475"/>
            </w:rPr>
          </w:pPr>
          <w:r>
            <w:rPr>
              <w:rFonts w:ascii="Arial" w:eastAsia="Arial" w:hAnsi="Arial" w:cs="Arial"/>
              <w:b/>
              <w:color w:val="477475"/>
            </w:rPr>
            <w:t>Australian</w:t>
          </w:r>
        </w:p>
        <w:p w14:paraId="5BD0C993" w14:textId="77777777" w:rsidR="00050756" w:rsidRDefault="00497B91">
          <w:pPr>
            <w:pBdr>
              <w:top w:val="nil"/>
              <w:left w:val="nil"/>
              <w:bottom w:val="nil"/>
              <w:right w:val="nil"/>
              <w:between w:val="nil"/>
            </w:pBdr>
            <w:tabs>
              <w:tab w:val="center" w:pos="4680"/>
              <w:tab w:val="right" w:pos="9360"/>
            </w:tabs>
            <w:rPr>
              <w:rFonts w:ascii="Arial" w:eastAsia="Arial" w:hAnsi="Arial" w:cs="Arial"/>
              <w:b/>
              <w:color w:val="477475"/>
            </w:rPr>
          </w:pPr>
          <w:r>
            <w:rPr>
              <w:rFonts w:ascii="Arial" w:eastAsia="Arial" w:hAnsi="Arial" w:cs="Arial"/>
              <w:b/>
              <w:color w:val="477475"/>
            </w:rPr>
            <w:t>Chamber of</w:t>
          </w:r>
        </w:p>
        <w:p w14:paraId="73D1FB85" w14:textId="77777777" w:rsidR="00050756" w:rsidRDefault="00497B91">
          <w:pPr>
            <w:pBdr>
              <w:top w:val="nil"/>
              <w:left w:val="nil"/>
              <w:bottom w:val="nil"/>
              <w:right w:val="nil"/>
              <w:between w:val="nil"/>
            </w:pBdr>
            <w:tabs>
              <w:tab w:val="center" w:pos="4680"/>
              <w:tab w:val="right" w:pos="9360"/>
            </w:tabs>
            <w:rPr>
              <w:rFonts w:ascii="Arial" w:eastAsia="Arial" w:hAnsi="Arial" w:cs="Arial"/>
              <w:b/>
              <w:color w:val="477475"/>
            </w:rPr>
          </w:pPr>
          <w:r>
            <w:rPr>
              <w:rFonts w:ascii="Arial" w:eastAsia="Arial" w:hAnsi="Arial" w:cs="Arial"/>
              <w:b/>
              <w:color w:val="477475"/>
            </w:rPr>
            <w:t>Commerce</w:t>
          </w:r>
        </w:p>
        <w:p w14:paraId="59AB0577" w14:textId="77777777" w:rsidR="00050756" w:rsidRDefault="00497B91">
          <w:pPr>
            <w:pBdr>
              <w:top w:val="nil"/>
              <w:left w:val="nil"/>
              <w:bottom w:val="nil"/>
              <w:right w:val="nil"/>
              <w:between w:val="nil"/>
            </w:pBdr>
            <w:tabs>
              <w:tab w:val="center" w:pos="4680"/>
              <w:tab w:val="right" w:pos="9360"/>
            </w:tabs>
            <w:rPr>
              <w:color w:val="000000"/>
            </w:rPr>
          </w:pPr>
          <w:r>
            <w:rPr>
              <w:rFonts w:ascii="Arial" w:eastAsia="Arial" w:hAnsi="Arial" w:cs="Arial"/>
              <w:b/>
              <w:color w:val="477475"/>
            </w:rPr>
            <w:t>Vietnam</w:t>
          </w:r>
        </w:p>
      </w:tc>
      <w:tc>
        <w:tcPr>
          <w:tcW w:w="5526" w:type="dxa"/>
        </w:tcPr>
        <w:p w14:paraId="10FD92A8" w14:textId="77777777" w:rsidR="00050756" w:rsidRDefault="00497B91">
          <w:pPr>
            <w:pBdr>
              <w:top w:val="nil"/>
              <w:left w:val="nil"/>
              <w:bottom w:val="nil"/>
              <w:right w:val="nil"/>
              <w:between w:val="nil"/>
            </w:pBdr>
            <w:tabs>
              <w:tab w:val="center" w:pos="4680"/>
              <w:tab w:val="right" w:pos="9360"/>
            </w:tabs>
            <w:jc w:val="right"/>
            <w:rPr>
              <w:color w:val="000000"/>
            </w:rPr>
          </w:pPr>
          <w:r>
            <w:rPr>
              <w:noProof/>
            </w:rPr>
            <w:drawing>
              <wp:anchor distT="0" distB="0" distL="114300" distR="114300" simplePos="0" relativeHeight="251658240" behindDoc="0" locked="0" layoutInCell="1" hidden="0" allowOverlap="1" wp14:anchorId="7AE6BD5E" wp14:editId="00FBCC2B">
                <wp:simplePos x="0" y="0"/>
                <wp:positionH relativeFrom="column">
                  <wp:posOffset>851028</wp:posOffset>
                </wp:positionH>
                <wp:positionV relativeFrom="paragraph">
                  <wp:posOffset>71755</wp:posOffset>
                </wp:positionV>
                <wp:extent cx="2245995" cy="56515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45995" cy="565150"/>
                        </a:xfrm>
                        <a:prstGeom prst="rect">
                          <a:avLst/>
                        </a:prstGeom>
                        <a:ln/>
                      </pic:spPr>
                    </pic:pic>
                  </a:graphicData>
                </a:graphic>
              </wp:anchor>
            </w:drawing>
          </w:r>
        </w:p>
      </w:tc>
    </w:tr>
  </w:tbl>
  <w:p w14:paraId="100FF9E5" w14:textId="77777777" w:rsidR="00050756" w:rsidRDefault="0005075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CC2" w14:textId="77777777" w:rsidR="00FD6916" w:rsidRDefault="00FD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86A"/>
    <w:multiLevelType w:val="multilevel"/>
    <w:tmpl w:val="0D189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F2004"/>
    <w:multiLevelType w:val="multilevel"/>
    <w:tmpl w:val="00A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C6AEE"/>
    <w:multiLevelType w:val="multilevel"/>
    <w:tmpl w:val="DCD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141A3"/>
    <w:multiLevelType w:val="multilevel"/>
    <w:tmpl w:val="8974B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0482"/>
    <w:multiLevelType w:val="multilevel"/>
    <w:tmpl w:val="537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A3FC4"/>
    <w:multiLevelType w:val="multilevel"/>
    <w:tmpl w:val="25C0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01E5A"/>
    <w:multiLevelType w:val="multilevel"/>
    <w:tmpl w:val="116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2000F"/>
    <w:multiLevelType w:val="multilevel"/>
    <w:tmpl w:val="ED6A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B0C6C"/>
    <w:multiLevelType w:val="multilevel"/>
    <w:tmpl w:val="7CA0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07E70"/>
    <w:multiLevelType w:val="multilevel"/>
    <w:tmpl w:val="ABC2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837A9"/>
    <w:multiLevelType w:val="multilevel"/>
    <w:tmpl w:val="2DE87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80E8C"/>
    <w:multiLevelType w:val="multilevel"/>
    <w:tmpl w:val="79F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24B19"/>
    <w:multiLevelType w:val="multilevel"/>
    <w:tmpl w:val="93AC9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A25F8"/>
    <w:multiLevelType w:val="multilevel"/>
    <w:tmpl w:val="CEEE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7798E"/>
    <w:multiLevelType w:val="multilevel"/>
    <w:tmpl w:val="2B6E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44FA6"/>
    <w:multiLevelType w:val="multilevel"/>
    <w:tmpl w:val="B1DA7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458F2"/>
    <w:multiLevelType w:val="multilevel"/>
    <w:tmpl w:val="0A361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55512"/>
    <w:multiLevelType w:val="multilevel"/>
    <w:tmpl w:val="D49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177F5"/>
    <w:multiLevelType w:val="multilevel"/>
    <w:tmpl w:val="969A0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B0A64"/>
    <w:multiLevelType w:val="multilevel"/>
    <w:tmpl w:val="A7D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A4315"/>
    <w:multiLevelType w:val="multilevel"/>
    <w:tmpl w:val="7F7C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3695C"/>
    <w:multiLevelType w:val="multilevel"/>
    <w:tmpl w:val="85BA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85B53"/>
    <w:multiLevelType w:val="multilevel"/>
    <w:tmpl w:val="7F12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C6FAA"/>
    <w:multiLevelType w:val="multilevel"/>
    <w:tmpl w:val="1390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AD7685"/>
    <w:multiLevelType w:val="multilevel"/>
    <w:tmpl w:val="432E8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4521A5"/>
    <w:multiLevelType w:val="multilevel"/>
    <w:tmpl w:val="E8C2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7047A"/>
    <w:multiLevelType w:val="multilevel"/>
    <w:tmpl w:val="F91C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B5BF5"/>
    <w:multiLevelType w:val="multilevel"/>
    <w:tmpl w:val="0A281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786314">
    <w:abstractNumId w:val="15"/>
  </w:num>
  <w:num w:numId="2" w16cid:durableId="886528402">
    <w:abstractNumId w:val="18"/>
  </w:num>
  <w:num w:numId="3" w16cid:durableId="1483690513">
    <w:abstractNumId w:val="0"/>
  </w:num>
  <w:num w:numId="4" w16cid:durableId="1583953504">
    <w:abstractNumId w:val="10"/>
  </w:num>
  <w:num w:numId="5" w16cid:durableId="1495754874">
    <w:abstractNumId w:val="16"/>
  </w:num>
  <w:num w:numId="6" w16cid:durableId="576676203">
    <w:abstractNumId w:val="20"/>
  </w:num>
  <w:num w:numId="7" w16cid:durableId="1110121825">
    <w:abstractNumId w:val="3"/>
  </w:num>
  <w:num w:numId="8" w16cid:durableId="1772243094">
    <w:abstractNumId w:val="14"/>
  </w:num>
  <w:num w:numId="9" w16cid:durableId="1399938403">
    <w:abstractNumId w:val="27"/>
  </w:num>
  <w:num w:numId="10" w16cid:durableId="1323972385">
    <w:abstractNumId w:val="25"/>
  </w:num>
  <w:num w:numId="11" w16cid:durableId="1087654434">
    <w:abstractNumId w:val="6"/>
  </w:num>
  <w:num w:numId="12" w16cid:durableId="2135125899">
    <w:abstractNumId w:val="13"/>
  </w:num>
  <w:num w:numId="13" w16cid:durableId="1138449456">
    <w:abstractNumId w:val="1"/>
  </w:num>
  <w:num w:numId="14" w16cid:durableId="187723415">
    <w:abstractNumId w:val="26"/>
  </w:num>
  <w:num w:numId="15" w16cid:durableId="998113972">
    <w:abstractNumId w:val="21"/>
  </w:num>
  <w:num w:numId="16" w16cid:durableId="2061898446">
    <w:abstractNumId w:val="24"/>
  </w:num>
  <w:num w:numId="17" w16cid:durableId="747044876">
    <w:abstractNumId w:val="9"/>
  </w:num>
  <w:num w:numId="18" w16cid:durableId="875581307">
    <w:abstractNumId w:val="23"/>
  </w:num>
  <w:num w:numId="19" w16cid:durableId="1645313163">
    <w:abstractNumId w:val="19"/>
  </w:num>
  <w:num w:numId="20" w16cid:durableId="1276715931">
    <w:abstractNumId w:val="8"/>
  </w:num>
  <w:num w:numId="21" w16cid:durableId="569387274">
    <w:abstractNumId w:val="5"/>
  </w:num>
  <w:num w:numId="22" w16cid:durableId="1221399870">
    <w:abstractNumId w:val="7"/>
  </w:num>
  <w:num w:numId="23" w16cid:durableId="833256070">
    <w:abstractNumId w:val="4"/>
  </w:num>
  <w:num w:numId="24" w16cid:durableId="1102647781">
    <w:abstractNumId w:val="12"/>
  </w:num>
  <w:num w:numId="25" w16cid:durableId="1080951242">
    <w:abstractNumId w:val="17"/>
  </w:num>
  <w:num w:numId="26" w16cid:durableId="1495414725">
    <w:abstractNumId w:val="11"/>
  </w:num>
  <w:num w:numId="27" w16cid:durableId="1397170007">
    <w:abstractNumId w:val="22"/>
  </w:num>
  <w:num w:numId="28" w16cid:durableId="58834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56"/>
    <w:rsid w:val="00050756"/>
    <w:rsid w:val="0005172B"/>
    <w:rsid w:val="000B01C7"/>
    <w:rsid w:val="00135C28"/>
    <w:rsid w:val="00217999"/>
    <w:rsid w:val="00484F45"/>
    <w:rsid w:val="004871AD"/>
    <w:rsid w:val="00497B91"/>
    <w:rsid w:val="00601063"/>
    <w:rsid w:val="00605075"/>
    <w:rsid w:val="0072256E"/>
    <w:rsid w:val="007A28A0"/>
    <w:rsid w:val="007A5EBA"/>
    <w:rsid w:val="00811AD7"/>
    <w:rsid w:val="008B46A4"/>
    <w:rsid w:val="009A1F3D"/>
    <w:rsid w:val="00A359E0"/>
    <w:rsid w:val="00A84376"/>
    <w:rsid w:val="00BA7F5D"/>
    <w:rsid w:val="00E82F88"/>
    <w:rsid w:val="00FB6AD9"/>
    <w:rsid w:val="00FD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7B796"/>
  <w15:docId w15:val="{F61DB65B-E3C5-46F5-A82B-D9D0C8C4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BA6"/>
  </w:style>
  <w:style w:type="paragraph" w:styleId="Heading1">
    <w:name w:val="heading 1"/>
    <w:basedOn w:val="Normal"/>
    <w:next w:val="Normal"/>
    <w:link w:val="Heading1Char"/>
    <w:uiPriority w:val="9"/>
    <w:qFormat/>
    <w:rsid w:val="00183BA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3BA6"/>
    <w:pPr>
      <w:tabs>
        <w:tab w:val="right" w:pos="10800"/>
      </w:tabs>
    </w:pPr>
    <w:rPr>
      <w:rFonts w:ascii="Cambria" w:hAnsi="Cambria"/>
      <w:b/>
      <w:bCs/>
      <w:kern w:val="28"/>
      <w:sz w:val="32"/>
      <w:szCs w:val="32"/>
      <w:lang w:val="x-none" w:eastAsia="x-none"/>
    </w:rPr>
  </w:style>
  <w:style w:type="character" w:customStyle="1" w:styleId="Heading1Char">
    <w:name w:val="Heading 1 Char"/>
    <w:basedOn w:val="DefaultParagraphFont"/>
    <w:link w:val="Heading1"/>
    <w:uiPriority w:val="99"/>
    <w:rsid w:val="00183BA6"/>
    <w:rPr>
      <w:rFonts w:ascii="Cambria" w:eastAsia="Times New Roman" w:hAnsi="Cambria" w:cs="Times New Roman"/>
      <w:b/>
      <w:bCs/>
      <w:kern w:val="32"/>
      <w:sz w:val="32"/>
      <w:szCs w:val="32"/>
      <w:lang w:val="x-none" w:eastAsia="x-none"/>
    </w:rPr>
  </w:style>
  <w:style w:type="character" w:customStyle="1" w:styleId="TitleChar">
    <w:name w:val="Title Char"/>
    <w:basedOn w:val="DefaultParagraphFont"/>
    <w:link w:val="Title"/>
    <w:uiPriority w:val="99"/>
    <w:rsid w:val="00183BA6"/>
    <w:rPr>
      <w:rFonts w:ascii="Cambria" w:eastAsia="Times New Roman" w:hAnsi="Cambria" w:cs="Times New Roman"/>
      <w:b/>
      <w:bCs/>
      <w:kern w:val="28"/>
      <w:sz w:val="32"/>
      <w:szCs w:val="32"/>
      <w:lang w:val="x-none" w:eastAsia="x-none"/>
    </w:rPr>
  </w:style>
  <w:style w:type="paragraph" w:styleId="Header">
    <w:name w:val="header"/>
    <w:basedOn w:val="Normal"/>
    <w:link w:val="HeaderChar"/>
    <w:uiPriority w:val="99"/>
    <w:unhideWhenUsed/>
    <w:rsid w:val="00183BA6"/>
    <w:pPr>
      <w:tabs>
        <w:tab w:val="center" w:pos="4680"/>
        <w:tab w:val="right" w:pos="9360"/>
      </w:tabs>
    </w:pPr>
  </w:style>
  <w:style w:type="character" w:customStyle="1" w:styleId="HeaderChar">
    <w:name w:val="Header Char"/>
    <w:basedOn w:val="DefaultParagraphFont"/>
    <w:link w:val="Header"/>
    <w:uiPriority w:val="99"/>
    <w:rsid w:val="00183BA6"/>
    <w:rPr>
      <w:rFonts w:ascii="Times New Roman" w:eastAsia="Times New Roman" w:hAnsi="Times New Roman" w:cs="Times New Roman"/>
      <w:sz w:val="22"/>
      <w:szCs w:val="22"/>
      <w:lang w:val="vi-VN"/>
    </w:rPr>
  </w:style>
  <w:style w:type="paragraph" w:styleId="Footer">
    <w:name w:val="footer"/>
    <w:basedOn w:val="Normal"/>
    <w:link w:val="FooterChar"/>
    <w:uiPriority w:val="99"/>
    <w:unhideWhenUsed/>
    <w:rsid w:val="00183BA6"/>
    <w:pPr>
      <w:tabs>
        <w:tab w:val="center" w:pos="4680"/>
        <w:tab w:val="right" w:pos="9360"/>
      </w:tabs>
    </w:pPr>
  </w:style>
  <w:style w:type="character" w:customStyle="1" w:styleId="FooterChar">
    <w:name w:val="Footer Char"/>
    <w:basedOn w:val="DefaultParagraphFont"/>
    <w:link w:val="Footer"/>
    <w:uiPriority w:val="99"/>
    <w:rsid w:val="00183BA6"/>
    <w:rPr>
      <w:rFonts w:ascii="Times New Roman" w:eastAsia="Times New Roman" w:hAnsi="Times New Roman" w:cs="Times New Roman"/>
      <w:sz w:val="22"/>
      <w:szCs w:val="22"/>
      <w:lang w:val="vi-VN"/>
    </w:rPr>
  </w:style>
  <w:style w:type="table" w:styleId="TableGrid">
    <w:name w:val="Table Grid"/>
    <w:basedOn w:val="TableNormal"/>
    <w:uiPriority w:val="39"/>
    <w:rsid w:val="00183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0B01C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47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WnIUQa5R9ncLOxDQjYMToZbLw==">CgMxLjA4AHIhMVAtYnFLN2VmRnQ0ckRXZEphQ0FyNGxoX3ZKMmNMbGUw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8DFF10-2EB7-4A8D-90B1-88EF60D6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Huong Tran</cp:lastModifiedBy>
  <cp:revision>6</cp:revision>
  <dcterms:created xsi:type="dcterms:W3CDTF">2022-12-20T02:21:00Z</dcterms:created>
  <dcterms:modified xsi:type="dcterms:W3CDTF">2025-09-09T09:21:00Z</dcterms:modified>
</cp:coreProperties>
</file>